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D009D8" w14:textId="77777777" w:rsidR="00FB2495" w:rsidRDefault="00FB2495">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18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6300"/>
      </w:tblGrid>
      <w:tr w:rsidR="00FB2495" w14:paraId="771D5089" w14:textId="77777777">
        <w:tc>
          <w:tcPr>
            <w:tcW w:w="9180" w:type="dxa"/>
            <w:gridSpan w:val="2"/>
            <w:tcBorders>
              <w:top w:val="nil"/>
              <w:left w:val="nil"/>
              <w:bottom w:val="nil"/>
              <w:right w:val="nil"/>
            </w:tcBorders>
          </w:tcPr>
          <w:p w14:paraId="00166B41" w14:textId="44456A12" w:rsidR="00FB2495" w:rsidRDefault="0055649A" w:rsidP="00920D56">
            <w:pPr>
              <w:jc w:val="both"/>
              <w:rPr>
                <w:b/>
                <w:bCs/>
                <w:sz w:val="28"/>
                <w:szCs w:val="28"/>
              </w:rPr>
            </w:pPr>
            <w:bookmarkStart w:id="0" w:name="_heading=h.gjdgxs" w:colFirst="0" w:colLast="0"/>
            <w:bookmarkEnd w:id="0"/>
            <w:r>
              <w:rPr>
                <w:b/>
                <w:bCs/>
                <w:sz w:val="28"/>
                <w:szCs w:val="28"/>
                <w:lang w:val="id-ID"/>
              </w:rPr>
              <w:t>G</w:t>
            </w:r>
            <w:r>
              <w:rPr>
                <w:b/>
                <w:bCs/>
                <w:sz w:val="28"/>
                <w:szCs w:val="28"/>
              </w:rPr>
              <w:t xml:space="preserve">ambaran </w:t>
            </w:r>
            <w:r>
              <w:rPr>
                <w:b/>
                <w:bCs/>
                <w:sz w:val="28"/>
                <w:szCs w:val="28"/>
                <w:lang w:val="id-ID"/>
              </w:rPr>
              <w:t>N</w:t>
            </w:r>
            <w:r w:rsidRPr="00AD33A8">
              <w:rPr>
                <w:b/>
                <w:bCs/>
                <w:sz w:val="28"/>
                <w:szCs w:val="28"/>
              </w:rPr>
              <w:t xml:space="preserve">ilai </w:t>
            </w:r>
            <w:r>
              <w:rPr>
                <w:b/>
                <w:bCs/>
                <w:i/>
                <w:iCs/>
                <w:sz w:val="28"/>
                <w:szCs w:val="28"/>
                <w:lang w:val="id-ID"/>
              </w:rPr>
              <w:t>S</w:t>
            </w:r>
            <w:r>
              <w:rPr>
                <w:b/>
                <w:bCs/>
                <w:i/>
                <w:iCs/>
                <w:sz w:val="28"/>
                <w:szCs w:val="28"/>
              </w:rPr>
              <w:t xml:space="preserve">ubjective </w:t>
            </w:r>
            <w:r>
              <w:rPr>
                <w:b/>
                <w:bCs/>
                <w:i/>
                <w:iCs/>
                <w:sz w:val="28"/>
                <w:szCs w:val="28"/>
                <w:lang w:val="id-ID"/>
              </w:rPr>
              <w:t>G</w:t>
            </w:r>
            <w:r>
              <w:rPr>
                <w:b/>
                <w:bCs/>
                <w:i/>
                <w:iCs/>
                <w:sz w:val="28"/>
                <w:szCs w:val="28"/>
              </w:rPr>
              <w:t xml:space="preserve">lobal </w:t>
            </w:r>
            <w:r>
              <w:rPr>
                <w:b/>
                <w:bCs/>
                <w:i/>
                <w:iCs/>
                <w:sz w:val="28"/>
                <w:szCs w:val="28"/>
                <w:lang w:val="id-ID"/>
              </w:rPr>
              <w:t>A</w:t>
            </w:r>
            <w:r w:rsidRPr="00AD33A8">
              <w:rPr>
                <w:b/>
                <w:bCs/>
                <w:i/>
                <w:iCs/>
                <w:sz w:val="28"/>
                <w:szCs w:val="28"/>
              </w:rPr>
              <w:t>ssessment</w:t>
            </w:r>
            <w:r>
              <w:rPr>
                <w:b/>
                <w:bCs/>
                <w:sz w:val="28"/>
                <w:szCs w:val="28"/>
              </w:rPr>
              <w:t xml:space="preserve"> </w:t>
            </w:r>
            <w:r>
              <w:rPr>
                <w:b/>
                <w:bCs/>
                <w:sz w:val="28"/>
                <w:szCs w:val="28"/>
                <w:lang w:val="id-ID"/>
              </w:rPr>
              <w:t>P</w:t>
            </w:r>
            <w:r>
              <w:rPr>
                <w:b/>
                <w:bCs/>
                <w:sz w:val="28"/>
                <w:szCs w:val="28"/>
              </w:rPr>
              <w:t xml:space="preserve">asien </w:t>
            </w:r>
            <w:r>
              <w:rPr>
                <w:b/>
                <w:bCs/>
                <w:sz w:val="28"/>
                <w:szCs w:val="28"/>
                <w:lang w:val="id-ID"/>
              </w:rPr>
              <w:t>L</w:t>
            </w:r>
            <w:r w:rsidRPr="00AD33A8">
              <w:rPr>
                <w:b/>
                <w:bCs/>
                <w:sz w:val="28"/>
                <w:szCs w:val="28"/>
              </w:rPr>
              <w:t>imfoma</w:t>
            </w:r>
          </w:p>
        </w:tc>
      </w:tr>
      <w:tr w:rsidR="00FB2495" w14:paraId="49C8F310" w14:textId="77777777">
        <w:tc>
          <w:tcPr>
            <w:tcW w:w="9180" w:type="dxa"/>
            <w:gridSpan w:val="2"/>
            <w:tcBorders>
              <w:top w:val="nil"/>
              <w:left w:val="nil"/>
              <w:bottom w:val="nil"/>
              <w:right w:val="nil"/>
            </w:tcBorders>
          </w:tcPr>
          <w:p w14:paraId="3AA79341" w14:textId="77777777" w:rsidR="00FB2495" w:rsidRPr="0055649A" w:rsidRDefault="00FB2495" w:rsidP="00920D56">
            <w:pPr>
              <w:jc w:val="both"/>
              <w:rPr>
                <w:b/>
                <w:bCs/>
                <w:sz w:val="22"/>
                <w:szCs w:val="22"/>
              </w:rPr>
            </w:pPr>
          </w:p>
        </w:tc>
      </w:tr>
      <w:tr w:rsidR="00FB2495" w14:paraId="4B3D1A92" w14:textId="77777777">
        <w:tc>
          <w:tcPr>
            <w:tcW w:w="9180" w:type="dxa"/>
            <w:gridSpan w:val="2"/>
            <w:tcBorders>
              <w:top w:val="nil"/>
              <w:left w:val="nil"/>
              <w:bottom w:val="nil"/>
              <w:right w:val="nil"/>
            </w:tcBorders>
          </w:tcPr>
          <w:p w14:paraId="3D218D78" w14:textId="13337440" w:rsidR="00FB2495" w:rsidRDefault="0055649A" w:rsidP="00920D56">
            <w:pPr>
              <w:jc w:val="both"/>
              <w:rPr>
                <w:b/>
                <w:bCs/>
                <w:sz w:val="28"/>
                <w:szCs w:val="28"/>
              </w:rPr>
            </w:pPr>
            <w:r>
              <w:rPr>
                <w:b/>
                <w:bCs/>
                <w:i/>
                <w:iCs/>
                <w:sz w:val="28"/>
                <w:szCs w:val="28"/>
                <w:lang w:val="id-ID"/>
              </w:rPr>
              <w:t>O</w:t>
            </w:r>
            <w:r>
              <w:rPr>
                <w:b/>
                <w:bCs/>
                <w:i/>
                <w:iCs/>
                <w:sz w:val="28"/>
                <w:szCs w:val="28"/>
              </w:rPr>
              <w:t xml:space="preserve">verview of </w:t>
            </w:r>
            <w:r>
              <w:rPr>
                <w:b/>
                <w:bCs/>
                <w:i/>
                <w:iCs/>
                <w:sz w:val="28"/>
                <w:szCs w:val="28"/>
                <w:lang w:val="id-ID"/>
              </w:rPr>
              <w:t>S</w:t>
            </w:r>
            <w:r>
              <w:rPr>
                <w:b/>
                <w:bCs/>
                <w:i/>
                <w:iCs/>
                <w:sz w:val="28"/>
                <w:szCs w:val="28"/>
              </w:rPr>
              <w:t xml:space="preserve">ubjective </w:t>
            </w:r>
            <w:r>
              <w:rPr>
                <w:b/>
                <w:bCs/>
                <w:i/>
                <w:iCs/>
                <w:sz w:val="28"/>
                <w:szCs w:val="28"/>
                <w:lang w:val="id-ID"/>
              </w:rPr>
              <w:t>G</w:t>
            </w:r>
            <w:r>
              <w:rPr>
                <w:b/>
                <w:bCs/>
                <w:i/>
                <w:iCs/>
                <w:sz w:val="28"/>
                <w:szCs w:val="28"/>
              </w:rPr>
              <w:t xml:space="preserve">lobal </w:t>
            </w:r>
            <w:r>
              <w:rPr>
                <w:b/>
                <w:bCs/>
                <w:i/>
                <w:iCs/>
                <w:sz w:val="28"/>
                <w:szCs w:val="28"/>
                <w:lang w:val="id-ID"/>
              </w:rPr>
              <w:t>A</w:t>
            </w:r>
            <w:r>
              <w:rPr>
                <w:b/>
                <w:bCs/>
                <w:i/>
                <w:iCs/>
                <w:sz w:val="28"/>
                <w:szCs w:val="28"/>
              </w:rPr>
              <w:t xml:space="preserve">ssessment </w:t>
            </w:r>
            <w:r>
              <w:rPr>
                <w:b/>
                <w:bCs/>
                <w:i/>
                <w:iCs/>
                <w:sz w:val="28"/>
                <w:szCs w:val="28"/>
                <w:lang w:val="id-ID"/>
              </w:rPr>
              <w:t>S</w:t>
            </w:r>
            <w:r>
              <w:rPr>
                <w:b/>
                <w:bCs/>
                <w:i/>
                <w:iCs/>
                <w:sz w:val="28"/>
                <w:szCs w:val="28"/>
              </w:rPr>
              <w:t xml:space="preserve">cores in </w:t>
            </w:r>
            <w:r>
              <w:rPr>
                <w:b/>
                <w:bCs/>
                <w:i/>
                <w:iCs/>
                <w:sz w:val="28"/>
                <w:szCs w:val="28"/>
                <w:lang w:val="id-ID"/>
              </w:rPr>
              <w:t>L</w:t>
            </w:r>
            <w:r>
              <w:rPr>
                <w:b/>
                <w:bCs/>
                <w:i/>
                <w:iCs/>
                <w:sz w:val="28"/>
                <w:szCs w:val="28"/>
              </w:rPr>
              <w:t xml:space="preserve">ymphoma </w:t>
            </w:r>
            <w:r>
              <w:rPr>
                <w:b/>
                <w:bCs/>
                <w:i/>
                <w:iCs/>
                <w:sz w:val="28"/>
                <w:szCs w:val="28"/>
                <w:lang w:val="id-ID"/>
              </w:rPr>
              <w:t>P</w:t>
            </w:r>
            <w:r w:rsidRPr="000B3C59">
              <w:rPr>
                <w:b/>
                <w:bCs/>
                <w:i/>
                <w:iCs/>
                <w:sz w:val="28"/>
                <w:szCs w:val="28"/>
              </w:rPr>
              <w:t>atients</w:t>
            </w:r>
          </w:p>
        </w:tc>
      </w:tr>
      <w:tr w:rsidR="00FB2495" w14:paraId="34CCD751" w14:textId="77777777">
        <w:tc>
          <w:tcPr>
            <w:tcW w:w="9180" w:type="dxa"/>
            <w:gridSpan w:val="2"/>
            <w:tcBorders>
              <w:top w:val="nil"/>
              <w:left w:val="nil"/>
              <w:bottom w:val="nil"/>
              <w:right w:val="nil"/>
            </w:tcBorders>
          </w:tcPr>
          <w:p w14:paraId="0231350D" w14:textId="77777777" w:rsidR="00FB2495" w:rsidRPr="0055649A" w:rsidRDefault="00FB2495" w:rsidP="00920D56">
            <w:pPr>
              <w:jc w:val="both"/>
              <w:rPr>
                <w:b/>
                <w:bCs/>
                <w:i/>
                <w:iCs/>
                <w:sz w:val="22"/>
                <w:szCs w:val="22"/>
              </w:rPr>
            </w:pPr>
          </w:p>
        </w:tc>
      </w:tr>
      <w:tr w:rsidR="00FB2495" w14:paraId="2E16A4E8" w14:textId="77777777">
        <w:tc>
          <w:tcPr>
            <w:tcW w:w="9180" w:type="dxa"/>
            <w:gridSpan w:val="2"/>
            <w:tcBorders>
              <w:top w:val="nil"/>
              <w:left w:val="nil"/>
              <w:bottom w:val="nil"/>
              <w:right w:val="nil"/>
            </w:tcBorders>
          </w:tcPr>
          <w:p w14:paraId="316CFC9F" w14:textId="5F5E4F30" w:rsidR="00FB2495" w:rsidRPr="0055649A" w:rsidRDefault="000B3C59" w:rsidP="00920D56">
            <w:pPr>
              <w:jc w:val="both"/>
              <w:rPr>
                <w:b/>
                <w:bCs/>
                <w:sz w:val="22"/>
                <w:szCs w:val="22"/>
                <w:vertAlign w:val="superscript"/>
                <w:lang w:val="id-ID"/>
              </w:rPr>
            </w:pPr>
            <w:r>
              <w:rPr>
                <w:b/>
                <w:bCs/>
                <w:sz w:val="22"/>
                <w:szCs w:val="22"/>
              </w:rPr>
              <w:t>Mohammad Dhika Kusumah</w:t>
            </w:r>
            <w:r w:rsidR="0055649A">
              <w:rPr>
                <w:b/>
                <w:bCs/>
                <w:sz w:val="22"/>
                <w:szCs w:val="22"/>
              </w:rPr>
              <w:t>¹</w:t>
            </w:r>
            <w:r w:rsidR="0055649A">
              <w:rPr>
                <w:b/>
                <w:bCs/>
                <w:sz w:val="22"/>
                <w:szCs w:val="22"/>
                <w:lang w:val="id-ID"/>
              </w:rPr>
              <w:t>*</w:t>
            </w:r>
          </w:p>
          <w:p w14:paraId="3D24211A" w14:textId="684F81E0" w:rsidR="00FB2495" w:rsidRDefault="00920D56" w:rsidP="00920D56">
            <w:pPr>
              <w:jc w:val="both"/>
              <w:rPr>
                <w:sz w:val="22"/>
                <w:szCs w:val="22"/>
              </w:rPr>
            </w:pPr>
            <w:r w:rsidRPr="00920D56">
              <w:rPr>
                <w:sz w:val="22"/>
                <w:szCs w:val="22"/>
                <w:vertAlign w:val="superscript"/>
              </w:rPr>
              <w:t>1</w:t>
            </w:r>
            <w:r w:rsidR="0055649A">
              <w:rPr>
                <w:sz w:val="22"/>
                <w:szCs w:val="22"/>
                <w:lang w:val="id-ID"/>
              </w:rPr>
              <w:t xml:space="preserve">Prodi Sarjana </w:t>
            </w:r>
            <w:r w:rsidR="000B3C59">
              <w:rPr>
                <w:sz w:val="22"/>
                <w:szCs w:val="22"/>
              </w:rPr>
              <w:t xml:space="preserve">Keperawatan, </w:t>
            </w:r>
            <w:r>
              <w:rPr>
                <w:sz w:val="22"/>
                <w:szCs w:val="22"/>
              </w:rPr>
              <w:t xml:space="preserve">Jurusan Keperawatan, </w:t>
            </w:r>
            <w:r w:rsidR="000B3C59">
              <w:rPr>
                <w:sz w:val="22"/>
                <w:szCs w:val="22"/>
              </w:rPr>
              <w:t>STIKes Permata Nusantara, Cianjur, Indonesia</w:t>
            </w:r>
          </w:p>
        </w:tc>
      </w:tr>
      <w:tr w:rsidR="00FB2495" w14:paraId="5056394D" w14:textId="77777777">
        <w:tc>
          <w:tcPr>
            <w:tcW w:w="9180" w:type="dxa"/>
            <w:gridSpan w:val="2"/>
            <w:tcBorders>
              <w:top w:val="nil"/>
              <w:left w:val="nil"/>
              <w:bottom w:val="single" w:sz="4" w:space="0" w:color="000000"/>
              <w:right w:val="nil"/>
            </w:tcBorders>
          </w:tcPr>
          <w:p w14:paraId="35C1368B" w14:textId="77777777" w:rsidR="00FB2495" w:rsidRDefault="00FB2495">
            <w:pPr>
              <w:rPr>
                <w:b/>
                <w:bCs/>
                <w:sz w:val="22"/>
                <w:szCs w:val="22"/>
              </w:rPr>
            </w:pPr>
          </w:p>
        </w:tc>
      </w:tr>
      <w:tr w:rsidR="00FB2495" w14:paraId="345DC0EA" w14:textId="77777777">
        <w:tc>
          <w:tcPr>
            <w:tcW w:w="2880" w:type="dxa"/>
            <w:vMerge w:val="restart"/>
            <w:tcBorders>
              <w:top w:val="single" w:sz="4" w:space="0" w:color="000000"/>
              <w:left w:val="nil"/>
              <w:bottom w:val="single" w:sz="4" w:space="0" w:color="000000"/>
              <w:right w:val="nil"/>
            </w:tcBorders>
          </w:tcPr>
          <w:p w14:paraId="16E131C4" w14:textId="77777777" w:rsidR="00FB2495" w:rsidRDefault="0055649A">
            <w:pPr>
              <w:jc w:val="both"/>
              <w:rPr>
                <w:sz w:val="20"/>
                <w:szCs w:val="20"/>
              </w:rPr>
            </w:pPr>
            <w:r>
              <w:rPr>
                <w:b/>
                <w:bCs/>
                <w:sz w:val="20"/>
                <w:szCs w:val="20"/>
              </w:rPr>
              <w:t>Kata Kunci :</w:t>
            </w:r>
            <w:r>
              <w:rPr>
                <w:sz w:val="20"/>
                <w:szCs w:val="20"/>
              </w:rPr>
              <w:t xml:space="preserve"> </w:t>
            </w:r>
          </w:p>
          <w:p w14:paraId="583EEA2B" w14:textId="63606F42" w:rsidR="00FB2495" w:rsidRDefault="00FA6558">
            <w:pPr>
              <w:jc w:val="both"/>
              <w:rPr>
                <w:sz w:val="20"/>
                <w:szCs w:val="20"/>
              </w:rPr>
            </w:pPr>
            <w:r w:rsidRPr="00FA6558">
              <w:rPr>
                <w:sz w:val="20"/>
                <w:szCs w:val="20"/>
              </w:rPr>
              <w:t xml:space="preserve">Limfoma, </w:t>
            </w:r>
            <w:r w:rsidR="0055649A" w:rsidRPr="00FA6558">
              <w:rPr>
                <w:sz w:val="20"/>
                <w:szCs w:val="20"/>
              </w:rPr>
              <w:t>subjective global assessment,</w:t>
            </w:r>
            <w:r w:rsidRPr="00FA6558">
              <w:rPr>
                <w:sz w:val="20"/>
                <w:szCs w:val="20"/>
              </w:rPr>
              <w:t xml:space="preserve"> status gizi, malnutrisi, pasien kanker</w:t>
            </w:r>
            <w:r w:rsidR="0062292A">
              <w:rPr>
                <w:sz w:val="20"/>
                <w:szCs w:val="20"/>
              </w:rPr>
              <w:t>.</w:t>
            </w:r>
          </w:p>
          <w:p w14:paraId="00AA55C8" w14:textId="77777777" w:rsidR="00FB2495" w:rsidRDefault="00FB2495">
            <w:pPr>
              <w:jc w:val="both"/>
              <w:rPr>
                <w:b/>
                <w:bCs/>
                <w:sz w:val="20"/>
                <w:szCs w:val="20"/>
              </w:rPr>
            </w:pPr>
          </w:p>
          <w:p w14:paraId="21A98B30" w14:textId="77777777" w:rsidR="00FB2495" w:rsidRDefault="00FB2495">
            <w:pPr>
              <w:jc w:val="both"/>
              <w:rPr>
                <w:b/>
                <w:bCs/>
                <w:sz w:val="20"/>
                <w:szCs w:val="20"/>
              </w:rPr>
            </w:pPr>
          </w:p>
        </w:tc>
        <w:tc>
          <w:tcPr>
            <w:tcW w:w="6300" w:type="dxa"/>
            <w:tcBorders>
              <w:top w:val="single" w:sz="4" w:space="0" w:color="000000"/>
              <w:left w:val="nil"/>
              <w:bottom w:val="single" w:sz="4" w:space="0" w:color="000000"/>
              <w:right w:val="nil"/>
            </w:tcBorders>
          </w:tcPr>
          <w:p w14:paraId="004D6664" w14:textId="77777777" w:rsidR="00FB2495" w:rsidRDefault="0055649A">
            <w:pPr>
              <w:jc w:val="both"/>
              <w:rPr>
                <w:b/>
                <w:bCs/>
                <w:sz w:val="20"/>
                <w:szCs w:val="20"/>
              </w:rPr>
            </w:pPr>
            <w:r>
              <w:rPr>
                <w:b/>
                <w:bCs/>
                <w:sz w:val="20"/>
                <w:szCs w:val="20"/>
              </w:rPr>
              <w:t>ABSTRAK</w:t>
            </w:r>
          </w:p>
        </w:tc>
      </w:tr>
      <w:tr w:rsidR="00FB2495" w14:paraId="50DC7AB3" w14:textId="77777777">
        <w:tc>
          <w:tcPr>
            <w:tcW w:w="2880" w:type="dxa"/>
            <w:vMerge/>
            <w:tcBorders>
              <w:top w:val="single" w:sz="4" w:space="0" w:color="000000"/>
              <w:left w:val="nil"/>
              <w:bottom w:val="single" w:sz="4" w:space="0" w:color="000000"/>
              <w:right w:val="nil"/>
            </w:tcBorders>
          </w:tcPr>
          <w:p w14:paraId="0BBEA425" w14:textId="77777777" w:rsidR="00FB2495" w:rsidRDefault="00FB2495">
            <w:pPr>
              <w:widowControl w:val="0"/>
              <w:pBdr>
                <w:top w:val="nil"/>
                <w:left w:val="nil"/>
                <w:bottom w:val="nil"/>
                <w:right w:val="nil"/>
                <w:between w:val="nil"/>
              </w:pBdr>
              <w:spacing w:line="276" w:lineRule="auto"/>
              <w:rPr>
                <w:b/>
                <w:bCs/>
                <w:sz w:val="20"/>
                <w:szCs w:val="20"/>
              </w:rPr>
            </w:pPr>
          </w:p>
        </w:tc>
        <w:tc>
          <w:tcPr>
            <w:tcW w:w="6300" w:type="dxa"/>
            <w:tcBorders>
              <w:top w:val="single" w:sz="4" w:space="0" w:color="000000"/>
              <w:left w:val="nil"/>
              <w:bottom w:val="single" w:sz="4" w:space="0" w:color="000000"/>
              <w:right w:val="nil"/>
            </w:tcBorders>
          </w:tcPr>
          <w:p w14:paraId="7C1BC834" w14:textId="37FB8674" w:rsidR="00FB2495" w:rsidRDefault="0055649A">
            <w:pPr>
              <w:jc w:val="both"/>
              <w:rPr>
                <w:sz w:val="20"/>
                <w:szCs w:val="20"/>
              </w:rPr>
            </w:pPr>
            <w:r w:rsidRPr="00920D56">
              <w:rPr>
                <w:b/>
                <w:sz w:val="20"/>
                <w:szCs w:val="20"/>
                <w:lang w:val="id-ID"/>
              </w:rPr>
              <w:t>Pendahuluan:</w:t>
            </w:r>
            <w:r w:rsidRPr="0055649A">
              <w:rPr>
                <w:sz w:val="20"/>
                <w:szCs w:val="20"/>
                <w:lang w:val="id-ID"/>
              </w:rPr>
              <w:t xml:space="preserve"> </w:t>
            </w:r>
            <w:r w:rsidRPr="0055649A">
              <w:rPr>
                <w:sz w:val="20"/>
                <w:szCs w:val="20"/>
              </w:rPr>
              <w:t xml:space="preserve">Limfoma </w:t>
            </w:r>
            <w:r w:rsidRPr="0055649A">
              <w:rPr>
                <w:sz w:val="20"/>
                <w:szCs w:val="20"/>
                <w:lang w:val="id-ID"/>
              </w:rPr>
              <w:t>adalah</w:t>
            </w:r>
            <w:r w:rsidR="00B763A4" w:rsidRPr="0055649A">
              <w:rPr>
                <w:sz w:val="20"/>
                <w:szCs w:val="20"/>
              </w:rPr>
              <w:t xml:space="preserve"> keganasan sistem limfatik yang sering menyebabkan gangguan status gizi akibat peningkatan kebutuhan metaboli</w:t>
            </w:r>
            <w:r w:rsidRPr="0055649A">
              <w:rPr>
                <w:sz w:val="20"/>
                <w:szCs w:val="20"/>
              </w:rPr>
              <w:t xml:space="preserve">k, penurunan asupan makan, </w:t>
            </w:r>
            <w:r w:rsidRPr="0055649A">
              <w:rPr>
                <w:sz w:val="20"/>
                <w:szCs w:val="20"/>
                <w:lang w:val="id-ID"/>
              </w:rPr>
              <w:t>dan</w:t>
            </w:r>
            <w:r w:rsidR="00B763A4" w:rsidRPr="0055649A">
              <w:rPr>
                <w:sz w:val="20"/>
                <w:szCs w:val="20"/>
              </w:rPr>
              <w:t xml:space="preserve"> efek samping terapi. Kondisi malnutrisi pada pasien limfoma dapat memperburuk respons terapi dan prognosis pasien sehingga diperlukan penilaian status gizi secara dini menggunakan </w:t>
            </w:r>
            <w:r w:rsidR="00B763A4" w:rsidRPr="0055649A">
              <w:rPr>
                <w:i/>
                <w:iCs/>
                <w:sz w:val="20"/>
                <w:szCs w:val="20"/>
              </w:rPr>
              <w:t>Subjective Global Assessment</w:t>
            </w:r>
            <w:r w:rsidR="00B763A4" w:rsidRPr="0055649A">
              <w:rPr>
                <w:sz w:val="20"/>
                <w:szCs w:val="20"/>
              </w:rPr>
              <w:t xml:space="preserve"> (SGA). Penelitian ini bertujuan untuk mengetahui gambaran status nilai nutrisi berdasarkan </w:t>
            </w:r>
            <w:r w:rsidR="00B763A4" w:rsidRPr="0055649A">
              <w:rPr>
                <w:i/>
                <w:iCs/>
                <w:sz w:val="20"/>
                <w:szCs w:val="20"/>
              </w:rPr>
              <w:t>Subjective Global Assessment</w:t>
            </w:r>
            <w:r w:rsidR="00B763A4" w:rsidRPr="0055649A">
              <w:rPr>
                <w:sz w:val="20"/>
                <w:szCs w:val="20"/>
              </w:rPr>
              <w:t xml:space="preserve"> pada pasien limfoma di RSUD Sayang Cianjur. </w:t>
            </w:r>
            <w:r w:rsidRPr="00920D56">
              <w:rPr>
                <w:b/>
                <w:sz w:val="20"/>
                <w:szCs w:val="20"/>
                <w:lang w:val="id-ID"/>
              </w:rPr>
              <w:t xml:space="preserve">Metode: </w:t>
            </w:r>
            <w:r w:rsidRPr="0055649A">
              <w:rPr>
                <w:sz w:val="20"/>
                <w:szCs w:val="20"/>
                <w:lang w:val="id-ID"/>
              </w:rPr>
              <w:t>Desain</w:t>
            </w:r>
            <w:r w:rsidR="00B763A4" w:rsidRPr="0055649A">
              <w:rPr>
                <w:sz w:val="20"/>
                <w:szCs w:val="20"/>
              </w:rPr>
              <w:t xml:space="preserve"> deskriptif observasional dengan pendekatan </w:t>
            </w:r>
            <w:r w:rsidR="00B763A4" w:rsidRPr="0055649A">
              <w:rPr>
                <w:i/>
                <w:iCs/>
                <w:sz w:val="20"/>
                <w:szCs w:val="20"/>
              </w:rPr>
              <w:t>cross-sectional</w:t>
            </w:r>
            <w:r w:rsidR="00B763A4" w:rsidRPr="0055649A">
              <w:rPr>
                <w:sz w:val="20"/>
                <w:szCs w:val="20"/>
              </w:rPr>
              <w:t xml:space="preserve">. Teknik pengambilan sampel menggunakan </w:t>
            </w:r>
            <w:r w:rsidR="00B763A4" w:rsidRPr="0055649A">
              <w:rPr>
                <w:i/>
                <w:iCs/>
                <w:sz w:val="20"/>
                <w:szCs w:val="20"/>
              </w:rPr>
              <w:t>purposive sampling</w:t>
            </w:r>
            <w:r w:rsidR="00B763A4" w:rsidRPr="0055649A">
              <w:rPr>
                <w:sz w:val="20"/>
                <w:szCs w:val="20"/>
              </w:rPr>
              <w:t xml:space="preserve"> dengan jumlah responden sebanyak 20 pasien limfoma. Data dikumpulkan menggunakan instrumen </w:t>
            </w:r>
            <w:r w:rsidR="00B763A4" w:rsidRPr="0055649A">
              <w:rPr>
                <w:i/>
                <w:iCs/>
                <w:sz w:val="20"/>
                <w:szCs w:val="20"/>
              </w:rPr>
              <w:t>Subjective Global Assessment</w:t>
            </w:r>
            <w:r w:rsidR="00B763A4" w:rsidRPr="0055649A">
              <w:rPr>
                <w:sz w:val="20"/>
                <w:szCs w:val="20"/>
              </w:rPr>
              <w:t xml:space="preserve"> yang meliputi domain berat badan, asupan makan, gejala gastrointestinal, kapasitas fungsional, penyakit dan kebutuhan gizi,</w:t>
            </w:r>
            <w:r w:rsidRPr="0055649A">
              <w:rPr>
                <w:sz w:val="20"/>
                <w:szCs w:val="20"/>
              </w:rPr>
              <w:t xml:space="preserve"> serta pemeriksaan fisik. </w:t>
            </w:r>
            <w:r w:rsidRPr="00920D56">
              <w:rPr>
                <w:b/>
                <w:sz w:val="20"/>
                <w:szCs w:val="20"/>
              </w:rPr>
              <w:t>Hasil</w:t>
            </w:r>
            <w:r w:rsidRPr="00920D56">
              <w:rPr>
                <w:b/>
                <w:sz w:val="20"/>
                <w:szCs w:val="20"/>
                <w:lang w:val="id-ID"/>
              </w:rPr>
              <w:t>:</w:t>
            </w:r>
            <w:r w:rsidRPr="0055649A">
              <w:rPr>
                <w:sz w:val="20"/>
                <w:szCs w:val="20"/>
                <w:lang w:val="id-ID"/>
              </w:rPr>
              <w:t xml:space="preserve"> P</w:t>
            </w:r>
            <w:r w:rsidR="00B763A4" w:rsidRPr="0055649A">
              <w:rPr>
                <w:sz w:val="20"/>
                <w:szCs w:val="20"/>
              </w:rPr>
              <w:t>enelitian menunjukkan bahwa sebagian besar pasien berada pada katego</w:t>
            </w:r>
            <w:r w:rsidRPr="0055649A">
              <w:rPr>
                <w:sz w:val="20"/>
                <w:szCs w:val="20"/>
              </w:rPr>
              <w:t>ri SGA B atau malnutrisi ringan</w:t>
            </w:r>
            <w:r w:rsidRPr="0055649A">
              <w:rPr>
                <w:sz w:val="20"/>
                <w:szCs w:val="20"/>
                <w:lang w:val="id-ID"/>
              </w:rPr>
              <w:t>-</w:t>
            </w:r>
            <w:r w:rsidR="00B763A4" w:rsidRPr="0055649A">
              <w:rPr>
                <w:sz w:val="20"/>
                <w:szCs w:val="20"/>
              </w:rPr>
              <w:t xml:space="preserve">sedang sebanyak 55,0%, SGA A </w:t>
            </w:r>
            <w:r w:rsidRPr="0055649A">
              <w:rPr>
                <w:sz w:val="20"/>
                <w:szCs w:val="20"/>
                <w:lang w:val="id-ID"/>
              </w:rPr>
              <w:t xml:space="preserve">atau </w:t>
            </w:r>
            <w:r w:rsidRPr="0055649A">
              <w:rPr>
                <w:sz w:val="20"/>
                <w:szCs w:val="20"/>
              </w:rPr>
              <w:t xml:space="preserve">status gizi baik </w:t>
            </w:r>
            <w:r w:rsidR="00B763A4" w:rsidRPr="0055649A">
              <w:rPr>
                <w:sz w:val="20"/>
                <w:szCs w:val="20"/>
              </w:rPr>
              <w:t xml:space="preserve">sebanyak 25,0%, dan SGA C </w:t>
            </w:r>
            <w:r w:rsidRPr="0055649A">
              <w:rPr>
                <w:sz w:val="20"/>
                <w:szCs w:val="20"/>
                <w:lang w:val="id-ID"/>
              </w:rPr>
              <w:t xml:space="preserve">atau </w:t>
            </w:r>
            <w:r w:rsidRPr="0055649A">
              <w:rPr>
                <w:sz w:val="20"/>
                <w:szCs w:val="20"/>
              </w:rPr>
              <w:t xml:space="preserve">malnutrisi berat </w:t>
            </w:r>
            <w:r w:rsidR="00B763A4" w:rsidRPr="0055649A">
              <w:rPr>
                <w:sz w:val="20"/>
                <w:szCs w:val="20"/>
              </w:rPr>
              <w:t xml:space="preserve">sebanyak 20,0%. Mayoritas responden juga mengalami gangguan pada domain berat badan, asupan makan, gejala gastrointestinal, dan pemeriksaan fisik. </w:t>
            </w:r>
            <w:r w:rsidRPr="00920D56">
              <w:rPr>
                <w:b/>
                <w:sz w:val="20"/>
                <w:szCs w:val="20"/>
                <w:lang w:val="id-ID"/>
              </w:rPr>
              <w:t>Kesimpulan:</w:t>
            </w:r>
            <w:r w:rsidRPr="0055649A">
              <w:rPr>
                <w:sz w:val="20"/>
                <w:szCs w:val="20"/>
                <w:lang w:val="id-ID"/>
              </w:rPr>
              <w:t xml:space="preserve"> P</w:t>
            </w:r>
            <w:r w:rsidR="00B763A4" w:rsidRPr="0055649A">
              <w:rPr>
                <w:sz w:val="20"/>
                <w:szCs w:val="20"/>
              </w:rPr>
              <w:t>asien limfoma memiliki risiko tinggi mengalami malnutrisi sehingga penilaian status gizi menggunakan SGA penting dilakukan sebagai upaya deteksi dini dan dasar intervensi nutrisi pada pasien limfoma.</w:t>
            </w:r>
          </w:p>
        </w:tc>
      </w:tr>
      <w:tr w:rsidR="00FB2495" w14:paraId="2EC4EC48" w14:textId="77777777">
        <w:trPr>
          <w:trHeight w:val="184"/>
        </w:trPr>
        <w:tc>
          <w:tcPr>
            <w:tcW w:w="2880" w:type="dxa"/>
            <w:vMerge w:val="restart"/>
            <w:tcBorders>
              <w:top w:val="single" w:sz="4" w:space="0" w:color="000000"/>
              <w:left w:val="nil"/>
              <w:bottom w:val="single" w:sz="4" w:space="0" w:color="000000"/>
              <w:right w:val="nil"/>
            </w:tcBorders>
          </w:tcPr>
          <w:p w14:paraId="355BF461" w14:textId="77777777" w:rsidR="00FB2495" w:rsidRDefault="0055649A">
            <w:pPr>
              <w:jc w:val="both"/>
              <w:rPr>
                <w:sz w:val="20"/>
                <w:szCs w:val="20"/>
              </w:rPr>
            </w:pPr>
            <w:r>
              <w:rPr>
                <w:b/>
                <w:bCs/>
                <w:i/>
                <w:iCs/>
                <w:sz w:val="20"/>
                <w:szCs w:val="20"/>
              </w:rPr>
              <w:t>Keyword</w:t>
            </w:r>
            <w:r>
              <w:rPr>
                <w:b/>
                <w:bCs/>
                <w:sz w:val="20"/>
                <w:szCs w:val="20"/>
              </w:rPr>
              <w:t>:</w:t>
            </w:r>
            <w:r>
              <w:rPr>
                <w:sz w:val="20"/>
                <w:szCs w:val="20"/>
              </w:rPr>
              <w:t xml:space="preserve"> </w:t>
            </w:r>
          </w:p>
          <w:p w14:paraId="23BAEE6E" w14:textId="2BF30A0E" w:rsidR="00FB2495" w:rsidRDefault="0062292A">
            <w:pPr>
              <w:jc w:val="both"/>
              <w:rPr>
                <w:i/>
                <w:iCs/>
                <w:sz w:val="20"/>
                <w:szCs w:val="20"/>
              </w:rPr>
            </w:pPr>
            <w:r w:rsidRPr="0062292A">
              <w:rPr>
                <w:i/>
                <w:iCs/>
                <w:sz w:val="20"/>
                <w:szCs w:val="20"/>
              </w:rPr>
              <w:t>Lymphoma, Subjective Global Assessment, nutritional status, malnutrition, cancer patients</w:t>
            </w:r>
            <w:r>
              <w:rPr>
                <w:i/>
                <w:iCs/>
                <w:sz w:val="20"/>
                <w:szCs w:val="20"/>
              </w:rPr>
              <w:t>.</w:t>
            </w:r>
          </w:p>
          <w:p w14:paraId="5559A67C" w14:textId="77777777" w:rsidR="00FB2495" w:rsidRDefault="00FB2495">
            <w:pPr>
              <w:jc w:val="both"/>
              <w:rPr>
                <w:b/>
                <w:bCs/>
                <w:sz w:val="20"/>
                <w:szCs w:val="20"/>
              </w:rPr>
            </w:pPr>
          </w:p>
        </w:tc>
        <w:tc>
          <w:tcPr>
            <w:tcW w:w="6300" w:type="dxa"/>
            <w:tcBorders>
              <w:top w:val="single" w:sz="4" w:space="0" w:color="000000"/>
              <w:left w:val="nil"/>
              <w:bottom w:val="single" w:sz="4" w:space="0" w:color="000000"/>
              <w:right w:val="nil"/>
            </w:tcBorders>
          </w:tcPr>
          <w:p w14:paraId="6B54C98C" w14:textId="77777777" w:rsidR="00FB2495" w:rsidRDefault="0055649A">
            <w:pPr>
              <w:jc w:val="both"/>
              <w:rPr>
                <w:b/>
                <w:bCs/>
                <w:i/>
                <w:iCs/>
                <w:sz w:val="20"/>
                <w:szCs w:val="20"/>
              </w:rPr>
            </w:pPr>
            <w:r>
              <w:rPr>
                <w:b/>
                <w:bCs/>
                <w:i/>
                <w:iCs/>
                <w:sz w:val="20"/>
                <w:szCs w:val="20"/>
              </w:rPr>
              <w:t>ABSTRACT</w:t>
            </w:r>
          </w:p>
        </w:tc>
      </w:tr>
      <w:tr w:rsidR="00FB2495" w14:paraId="4DD49BE3" w14:textId="77777777">
        <w:tc>
          <w:tcPr>
            <w:tcW w:w="2880" w:type="dxa"/>
            <w:vMerge/>
            <w:tcBorders>
              <w:top w:val="single" w:sz="4" w:space="0" w:color="000000"/>
              <w:left w:val="nil"/>
              <w:bottom w:val="single" w:sz="4" w:space="0" w:color="000000"/>
              <w:right w:val="nil"/>
            </w:tcBorders>
          </w:tcPr>
          <w:p w14:paraId="53A959B3" w14:textId="77777777" w:rsidR="00FB2495" w:rsidRDefault="00FB2495">
            <w:pPr>
              <w:widowControl w:val="0"/>
              <w:pBdr>
                <w:top w:val="nil"/>
                <w:left w:val="nil"/>
                <w:bottom w:val="nil"/>
                <w:right w:val="nil"/>
                <w:between w:val="nil"/>
              </w:pBdr>
              <w:spacing w:line="276" w:lineRule="auto"/>
              <w:rPr>
                <w:b/>
                <w:bCs/>
                <w:sz w:val="20"/>
                <w:szCs w:val="20"/>
              </w:rPr>
            </w:pPr>
          </w:p>
        </w:tc>
        <w:tc>
          <w:tcPr>
            <w:tcW w:w="6300" w:type="dxa"/>
            <w:tcBorders>
              <w:top w:val="single" w:sz="4" w:space="0" w:color="000000"/>
              <w:left w:val="nil"/>
              <w:bottom w:val="single" w:sz="4" w:space="0" w:color="000000"/>
              <w:right w:val="nil"/>
            </w:tcBorders>
          </w:tcPr>
          <w:p w14:paraId="35445B7A" w14:textId="77777777" w:rsidR="00E56F3D" w:rsidRPr="00022DDA" w:rsidRDefault="00E56F3D" w:rsidP="00E56F3D">
            <w:pPr>
              <w:jc w:val="both"/>
              <w:rPr>
                <w:i/>
                <w:sz w:val="20"/>
                <w:szCs w:val="20"/>
              </w:rPr>
            </w:pPr>
            <w:r w:rsidRPr="00920D56">
              <w:rPr>
                <w:b/>
                <w:i/>
                <w:sz w:val="20"/>
                <w:szCs w:val="20"/>
              </w:rPr>
              <w:t>Introduction:</w:t>
            </w:r>
            <w:r w:rsidRPr="00022DDA">
              <w:rPr>
                <w:i/>
                <w:sz w:val="20"/>
                <w:szCs w:val="20"/>
              </w:rPr>
              <w:t xml:space="preserve"> Lymphoma is a malignancy of the lymphatic system that often leads to nutritional status disorders due to increased metabolic demands, reduced food intake, and side effects of therapy. Malnutrition in lymphoma patients can worsen treatment response and prognosis; therefore, early assessment of nutritional status using the Subjective Global Assessment (SGA) is necessary. This study aims to determine the nutritional status profile based on the Subjective Global Assessment in lymphoma patients at Sayang Cianjur Regional General Hospital. </w:t>
            </w:r>
            <w:r w:rsidRPr="00920D56">
              <w:rPr>
                <w:b/>
                <w:i/>
                <w:sz w:val="20"/>
                <w:szCs w:val="20"/>
              </w:rPr>
              <w:t>Methods:</w:t>
            </w:r>
            <w:r w:rsidRPr="00022DDA">
              <w:rPr>
                <w:i/>
                <w:sz w:val="20"/>
                <w:szCs w:val="20"/>
              </w:rPr>
              <w:t xml:space="preserve"> A descriptive observational study with a cross-sectional design. Sampling was conducted using purposive sampling with a sample size of 20 lymphoma patients. Data were collected using the Subjective Global Assessment instrument, which covers the domains of body weight, food intake, gastrointestinal symptoms, functional capacity, medical conditions and nutritional needs, as well as physical examination.</w:t>
            </w:r>
            <w:r w:rsidRPr="00920D56">
              <w:rPr>
                <w:b/>
                <w:i/>
                <w:sz w:val="20"/>
                <w:szCs w:val="20"/>
              </w:rPr>
              <w:t xml:space="preserve"> Results: </w:t>
            </w:r>
            <w:r w:rsidRPr="00022DDA">
              <w:rPr>
                <w:i/>
                <w:sz w:val="20"/>
                <w:szCs w:val="20"/>
              </w:rPr>
              <w:t xml:space="preserve">The study showed that the majority of patients fell into the SGA B category (mild-to-moderate malnutrition) at 55.0%, SGA A (good nutritional status) at </w:t>
            </w:r>
            <w:proofErr w:type="gramStart"/>
            <w:r w:rsidRPr="00022DDA">
              <w:rPr>
                <w:i/>
                <w:sz w:val="20"/>
                <w:szCs w:val="20"/>
              </w:rPr>
              <w:t>25.0%,</w:t>
            </w:r>
            <w:proofErr w:type="gramEnd"/>
            <w:r w:rsidRPr="00022DDA">
              <w:rPr>
                <w:i/>
                <w:sz w:val="20"/>
                <w:szCs w:val="20"/>
              </w:rPr>
              <w:t xml:space="preserve"> and SGA C (severe malnutrition) at 20.0%. The majority of respondents also experienced abnormalities in the domains of body weight, food intake, gastrointestinal symptoms, and physical examination. </w:t>
            </w:r>
            <w:r w:rsidRPr="00920D56">
              <w:rPr>
                <w:b/>
                <w:i/>
                <w:sz w:val="20"/>
                <w:szCs w:val="20"/>
              </w:rPr>
              <w:t>Conclusion:</w:t>
            </w:r>
            <w:r w:rsidRPr="00022DDA">
              <w:rPr>
                <w:i/>
                <w:sz w:val="20"/>
                <w:szCs w:val="20"/>
              </w:rPr>
              <w:t xml:space="preserve"> Lymphoma patients are at high risk of malnutrition; therefore, assessing their nutritional status using the SGA is important for early detection and as a basis for nutritional interventions in lymphoma patients.</w:t>
            </w:r>
          </w:p>
          <w:p w14:paraId="5C4A9BB5" w14:textId="77777777" w:rsidR="00E56F3D" w:rsidRDefault="00E56F3D" w:rsidP="00E56F3D">
            <w:pPr>
              <w:tabs>
                <w:tab w:val="left" w:pos="567"/>
              </w:tabs>
              <w:rPr>
                <w:i/>
                <w:iCs/>
                <w:sz w:val="18"/>
                <w:szCs w:val="18"/>
                <w:lang w:val="id-ID"/>
              </w:rPr>
            </w:pPr>
          </w:p>
          <w:p w14:paraId="7CD67045" w14:textId="77777777" w:rsidR="00FB2495" w:rsidRDefault="00B33DE6">
            <w:pPr>
              <w:tabs>
                <w:tab w:val="left" w:pos="567"/>
              </w:tabs>
              <w:jc w:val="right"/>
              <w:rPr>
                <w:i/>
                <w:iCs/>
                <w:sz w:val="18"/>
                <w:szCs w:val="18"/>
              </w:rPr>
            </w:pPr>
            <w:r>
              <w:rPr>
                <w:i/>
                <w:iCs/>
                <w:sz w:val="18"/>
                <w:szCs w:val="18"/>
              </w:rPr>
              <w:t xml:space="preserve">Copyright © 2026 JKBD </w:t>
            </w:r>
          </w:p>
          <w:p w14:paraId="499E028C" w14:textId="77777777" w:rsidR="00FB2495" w:rsidRDefault="0055649A">
            <w:pPr>
              <w:tabs>
                <w:tab w:val="left" w:pos="567"/>
              </w:tabs>
              <w:jc w:val="right"/>
              <w:rPr>
                <w:i/>
                <w:iCs/>
                <w:smallCaps/>
                <w:sz w:val="20"/>
                <w:szCs w:val="20"/>
              </w:rPr>
            </w:pPr>
            <w:r>
              <w:rPr>
                <w:i/>
                <w:iCs/>
                <w:sz w:val="18"/>
                <w:szCs w:val="18"/>
              </w:rPr>
              <w:t>Allrights reserved</w:t>
            </w:r>
          </w:p>
        </w:tc>
      </w:tr>
      <w:tr w:rsidR="00FB2495" w14:paraId="292DEE25" w14:textId="77777777">
        <w:tc>
          <w:tcPr>
            <w:tcW w:w="9180" w:type="dxa"/>
            <w:gridSpan w:val="2"/>
            <w:tcBorders>
              <w:top w:val="single" w:sz="4" w:space="0" w:color="000000"/>
              <w:left w:val="nil"/>
              <w:bottom w:val="single" w:sz="4" w:space="0" w:color="000000"/>
              <w:right w:val="nil"/>
            </w:tcBorders>
          </w:tcPr>
          <w:p w14:paraId="706D23EF" w14:textId="77777777" w:rsidR="00FB2495" w:rsidRDefault="0055649A">
            <w:pPr>
              <w:tabs>
                <w:tab w:val="left" w:pos="567"/>
              </w:tabs>
              <w:rPr>
                <w:b/>
                <w:bCs/>
                <w:i/>
                <w:iCs/>
                <w:sz w:val="20"/>
                <w:szCs w:val="20"/>
              </w:rPr>
            </w:pPr>
            <w:r>
              <w:rPr>
                <w:b/>
                <w:bCs/>
                <w:i/>
                <w:iCs/>
                <w:sz w:val="20"/>
                <w:szCs w:val="20"/>
              </w:rPr>
              <w:lastRenderedPageBreak/>
              <w:t>Corresponding Author:</w:t>
            </w:r>
          </w:p>
          <w:p w14:paraId="26088B2D" w14:textId="3AC82EF0" w:rsidR="00FB2495" w:rsidRPr="00E56F3D" w:rsidRDefault="00E56F3D">
            <w:pPr>
              <w:tabs>
                <w:tab w:val="left" w:pos="567"/>
              </w:tabs>
              <w:rPr>
                <w:sz w:val="20"/>
                <w:szCs w:val="20"/>
              </w:rPr>
            </w:pPr>
            <w:r w:rsidRPr="00E56F3D">
              <w:rPr>
                <w:b/>
                <w:bCs/>
                <w:sz w:val="20"/>
                <w:szCs w:val="20"/>
              </w:rPr>
              <w:t>Mohammad Dhika Kusumah</w:t>
            </w:r>
          </w:p>
          <w:p w14:paraId="0A28A7F9" w14:textId="77777777" w:rsidR="00FB2495" w:rsidRDefault="0055649A">
            <w:pPr>
              <w:jc w:val="both"/>
              <w:rPr>
                <w:rStyle w:val="Hyperlink"/>
                <w:color w:val="auto"/>
                <w:sz w:val="20"/>
                <w:szCs w:val="20"/>
                <w:highlight w:val="white"/>
                <w:u w:val="none"/>
              </w:rPr>
            </w:pPr>
            <w:r>
              <w:rPr>
                <w:sz w:val="20"/>
                <w:szCs w:val="20"/>
              </w:rPr>
              <w:t>Email:</w:t>
            </w:r>
            <w:r>
              <w:rPr>
                <w:sz w:val="20"/>
                <w:szCs w:val="20"/>
                <w:highlight w:val="white"/>
              </w:rPr>
              <w:t xml:space="preserve"> </w:t>
            </w:r>
            <w:hyperlink r:id="rId10" w:history="1">
              <w:r w:rsidR="00B07BD5" w:rsidRPr="00E56F3D">
                <w:rPr>
                  <w:rStyle w:val="Hyperlink"/>
                  <w:color w:val="auto"/>
                  <w:sz w:val="20"/>
                  <w:szCs w:val="20"/>
                  <w:highlight w:val="white"/>
                  <w:u w:val="none"/>
                </w:rPr>
                <w:t>kusumahdhika@gmail.com</w:t>
              </w:r>
            </w:hyperlink>
          </w:p>
          <w:p w14:paraId="36BDC4A6" w14:textId="756667E2" w:rsidR="00920D56" w:rsidRPr="006153AD" w:rsidRDefault="00920D56">
            <w:pPr>
              <w:jc w:val="both"/>
              <w:rPr>
                <w:sz w:val="20"/>
                <w:szCs w:val="20"/>
                <w:highlight w:val="white"/>
                <w:lang w:val="id-ID"/>
              </w:rPr>
            </w:pPr>
          </w:p>
        </w:tc>
      </w:tr>
      <w:tr w:rsidR="00FB2495" w14:paraId="79EA9941" w14:textId="77777777">
        <w:tc>
          <w:tcPr>
            <w:tcW w:w="9180" w:type="dxa"/>
            <w:gridSpan w:val="2"/>
            <w:tcBorders>
              <w:top w:val="single" w:sz="4" w:space="0" w:color="000000"/>
              <w:left w:val="nil"/>
              <w:bottom w:val="single" w:sz="4" w:space="0" w:color="000000"/>
              <w:right w:val="nil"/>
            </w:tcBorders>
          </w:tcPr>
          <w:p w14:paraId="6215D31D" w14:textId="77777777" w:rsidR="00FB2495" w:rsidRDefault="0055649A">
            <w:pPr>
              <w:rPr>
                <w:b/>
                <w:bCs/>
                <w:i/>
                <w:iCs/>
                <w:sz w:val="20"/>
                <w:szCs w:val="20"/>
              </w:rPr>
            </w:pPr>
            <w:r>
              <w:rPr>
                <w:b/>
                <w:bCs/>
                <w:i/>
                <w:iCs/>
                <w:sz w:val="20"/>
                <w:szCs w:val="20"/>
              </w:rPr>
              <w:t>Article history</w:t>
            </w:r>
          </w:p>
          <w:p w14:paraId="7A50D8EC" w14:textId="581B02E6" w:rsidR="00FB2495" w:rsidRPr="00920D56" w:rsidRDefault="0055649A">
            <w:pPr>
              <w:pStyle w:val="Subtitle"/>
              <w:spacing w:after="0"/>
              <w:jc w:val="left"/>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Received  date</w:t>
            </w:r>
            <w:proofErr w:type="gramEnd"/>
            <w:r>
              <w:rPr>
                <w:rFonts w:ascii="Times New Roman" w:eastAsia="Times New Roman" w:hAnsi="Times New Roman" w:cs="Times New Roman"/>
                <w:sz w:val="20"/>
                <w:szCs w:val="20"/>
              </w:rPr>
              <w:t xml:space="preserve"> :</w:t>
            </w:r>
            <w:r w:rsidR="00E56F3D">
              <w:rPr>
                <w:rFonts w:ascii="Times New Roman" w:eastAsia="Times New Roman" w:hAnsi="Times New Roman" w:cs="Times New Roman"/>
                <w:sz w:val="20"/>
                <w:szCs w:val="20"/>
                <w:lang w:val="id-ID"/>
              </w:rPr>
              <w:t xml:space="preserve"> </w:t>
            </w:r>
            <w:r w:rsidR="00920D56">
              <w:rPr>
                <w:rFonts w:ascii="Times New Roman" w:eastAsia="Times New Roman" w:hAnsi="Times New Roman" w:cs="Times New Roman"/>
                <w:sz w:val="20"/>
                <w:szCs w:val="20"/>
              </w:rPr>
              <w:t>23 Mei 2026</w:t>
            </w:r>
          </w:p>
          <w:p w14:paraId="0A9ECA54" w14:textId="52B99E36" w:rsidR="00FB2495" w:rsidRDefault="0055649A">
            <w:pPr>
              <w:pStyle w:val="Subtitle"/>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Revised </w:t>
            </w:r>
            <w:proofErr w:type="gramStart"/>
            <w:r>
              <w:rPr>
                <w:rFonts w:ascii="Times New Roman" w:eastAsia="Times New Roman" w:hAnsi="Times New Roman" w:cs="Times New Roman"/>
                <w:sz w:val="20"/>
                <w:szCs w:val="20"/>
              </w:rPr>
              <w:t>date  :</w:t>
            </w:r>
            <w:proofErr w:type="gramEnd"/>
            <w:r w:rsidR="00E56F3D">
              <w:rPr>
                <w:rFonts w:ascii="Times New Roman" w:eastAsia="Times New Roman" w:hAnsi="Times New Roman" w:cs="Times New Roman"/>
                <w:sz w:val="20"/>
                <w:szCs w:val="20"/>
              </w:rPr>
              <w:t xml:space="preserve">   </w:t>
            </w:r>
            <w:r w:rsidR="00920D56">
              <w:rPr>
                <w:rFonts w:ascii="Times New Roman" w:eastAsia="Times New Roman" w:hAnsi="Times New Roman" w:cs="Times New Roman"/>
                <w:sz w:val="20"/>
                <w:szCs w:val="20"/>
              </w:rPr>
              <w:t>8 Juni 2026</w:t>
            </w:r>
            <w:r>
              <w:rPr>
                <w:rFonts w:ascii="Times New Roman" w:eastAsia="Times New Roman" w:hAnsi="Times New Roman" w:cs="Times New Roman"/>
                <w:sz w:val="20"/>
                <w:szCs w:val="20"/>
              </w:rPr>
              <w:t xml:space="preserve">    </w:t>
            </w:r>
          </w:p>
          <w:p w14:paraId="54C0BB85" w14:textId="25F05F8F" w:rsidR="00FB2495" w:rsidRDefault="0055649A">
            <w:pPr>
              <w:tabs>
                <w:tab w:val="left" w:pos="567"/>
              </w:tabs>
              <w:rPr>
                <w:sz w:val="20"/>
                <w:szCs w:val="20"/>
              </w:rPr>
            </w:pPr>
            <w:r>
              <w:rPr>
                <w:sz w:val="20"/>
                <w:szCs w:val="20"/>
              </w:rPr>
              <w:t xml:space="preserve">Accepted date : </w:t>
            </w:r>
            <w:r w:rsidR="00920D56">
              <w:rPr>
                <w:sz w:val="20"/>
                <w:szCs w:val="20"/>
              </w:rPr>
              <w:t xml:space="preserve"> 30 Juni 2026</w:t>
            </w:r>
          </w:p>
          <w:p w14:paraId="08C49DE9" w14:textId="77777777" w:rsidR="00920D56" w:rsidRDefault="00920D56">
            <w:pPr>
              <w:tabs>
                <w:tab w:val="left" w:pos="567"/>
              </w:tabs>
              <w:rPr>
                <w:b/>
                <w:bCs/>
                <w:i/>
                <w:iCs/>
                <w:sz w:val="20"/>
                <w:szCs w:val="20"/>
              </w:rPr>
            </w:pPr>
          </w:p>
        </w:tc>
      </w:tr>
    </w:tbl>
    <w:p w14:paraId="380659DC" w14:textId="77777777" w:rsidR="00FB2495" w:rsidRDefault="00FB2495">
      <w:pPr>
        <w:sectPr w:rsidR="00FB2495" w:rsidSect="00920D56">
          <w:headerReference w:type="even" r:id="rId11"/>
          <w:headerReference w:type="default" r:id="rId12"/>
          <w:footerReference w:type="default" r:id="rId13"/>
          <w:headerReference w:type="first" r:id="rId14"/>
          <w:pgSz w:w="11907" w:h="16839"/>
          <w:pgMar w:top="864" w:right="1138" w:bottom="1138" w:left="1701" w:header="706" w:footer="706" w:gutter="0"/>
          <w:pgNumType w:start="93"/>
          <w:cols w:space="720"/>
          <w:titlePg/>
        </w:sectPr>
      </w:pPr>
    </w:p>
    <w:p w14:paraId="00E6C2C6" w14:textId="77777777" w:rsidR="00920D56" w:rsidRDefault="00920D56" w:rsidP="006153AD">
      <w:pPr>
        <w:jc w:val="both"/>
        <w:rPr>
          <w:b/>
          <w:bCs/>
          <w:sz w:val="22"/>
          <w:szCs w:val="22"/>
        </w:rPr>
      </w:pPr>
    </w:p>
    <w:p w14:paraId="66B22184" w14:textId="4CD3303F" w:rsidR="00FB2495" w:rsidRPr="006153AD" w:rsidRDefault="0055649A" w:rsidP="006153AD">
      <w:pPr>
        <w:jc w:val="both"/>
        <w:rPr>
          <w:b/>
          <w:bCs/>
          <w:sz w:val="22"/>
          <w:szCs w:val="22"/>
        </w:rPr>
      </w:pPr>
      <w:r w:rsidRPr="006153AD">
        <w:rPr>
          <w:b/>
          <w:bCs/>
          <w:sz w:val="22"/>
          <w:szCs w:val="22"/>
        </w:rPr>
        <w:t>PENDAHULUAN</w:t>
      </w:r>
    </w:p>
    <w:p w14:paraId="5ABCA190" w14:textId="77777777" w:rsidR="00FB2495" w:rsidRPr="006153AD" w:rsidRDefault="00FB2495" w:rsidP="006153AD">
      <w:pPr>
        <w:jc w:val="both"/>
        <w:rPr>
          <w:b/>
          <w:bCs/>
          <w:sz w:val="22"/>
          <w:szCs w:val="22"/>
        </w:rPr>
      </w:pPr>
    </w:p>
    <w:p w14:paraId="06325915" w14:textId="36F0D233" w:rsidR="00F7597E" w:rsidRPr="006153AD" w:rsidRDefault="00F7597E" w:rsidP="006153AD">
      <w:pPr>
        <w:pStyle w:val="NormalWeb"/>
        <w:spacing w:before="0" w:beforeAutospacing="0" w:after="0" w:afterAutospacing="0"/>
        <w:ind w:firstLine="426"/>
        <w:jc w:val="both"/>
        <w:rPr>
          <w:color w:val="000000"/>
          <w:sz w:val="22"/>
          <w:szCs w:val="22"/>
        </w:rPr>
      </w:pPr>
      <w:r w:rsidRPr="006153AD">
        <w:rPr>
          <w:color w:val="000000"/>
          <w:sz w:val="22"/>
          <w:szCs w:val="22"/>
        </w:rPr>
        <w:t>Limfoma merupakan sekelompok neoplasma (tumor ganas) heterogen yang berasal dari jaringan limfoid (sel limfoid) dan mencangkup entisitas seperti limfoma hodgkin dan non-hodgkin</w:t>
      </w:r>
      <w:r w:rsidR="003A4094" w:rsidRPr="006153AD">
        <w:rPr>
          <w:color w:val="000000"/>
          <w:sz w:val="22"/>
          <w:szCs w:val="22"/>
        </w:rPr>
        <w:t xml:space="preserve"> </w:t>
      </w:r>
      <w:r w:rsidR="003F30C2" w:rsidRPr="006153AD">
        <w:rPr>
          <w:color w:val="000000"/>
          <w:sz w:val="22"/>
          <w:szCs w:val="22"/>
        </w:rPr>
        <w:fldChar w:fldCharType="begin" w:fldLock="1"/>
      </w:r>
      <w:r w:rsidR="00D922ED" w:rsidRPr="006153AD">
        <w:rPr>
          <w:color w:val="000000"/>
          <w:sz w:val="22"/>
          <w:szCs w:val="22"/>
        </w:rPr>
        <w:instrText>ADDIN CSL_CITATION {"citationItems":[{"id":"ITEM-1","itemData":{"DOI":"10.1038/s41375-022-01625-x","author":[{"dropping-particle":"","family":"Cree","given":"Ian A","non-dropping-particle":"","parse-names":false,"suffix":""}],"id":"ITEM-1","issue":"June 2021","issued":{"date-parts":[["2022"]]},"page":"2021-2022","publisher":"Springer US","title":"The WHO Classi fi cation of Haematolymphoid Tumours","type":"article-journal"},"uris":["http://www.mendeley.com/documents/?uuid=69805c51-1cc5-49b8-bcc0-1c42b57712c4"]}],"mendeley":{"formattedCitation":"(Cree, 2022)","plainTextFormattedCitation":"(Cree, 2022)","previouslyFormattedCitation":"(Cree, 2022)"},"properties":{"noteIndex":0},"schema":"https://github.com/citation-style-language/schema/raw/master/csl-citation.json"}</w:instrText>
      </w:r>
      <w:r w:rsidR="003F30C2" w:rsidRPr="006153AD">
        <w:rPr>
          <w:color w:val="000000"/>
          <w:sz w:val="22"/>
          <w:szCs w:val="22"/>
        </w:rPr>
        <w:fldChar w:fldCharType="separate"/>
      </w:r>
      <w:r w:rsidR="003F30C2" w:rsidRPr="006153AD">
        <w:rPr>
          <w:noProof/>
          <w:color w:val="000000"/>
          <w:sz w:val="22"/>
          <w:szCs w:val="22"/>
        </w:rPr>
        <w:t>(Cree, 2022)</w:t>
      </w:r>
      <w:r w:rsidR="003F30C2" w:rsidRPr="006153AD">
        <w:rPr>
          <w:color w:val="000000"/>
          <w:sz w:val="22"/>
          <w:szCs w:val="22"/>
        </w:rPr>
        <w:fldChar w:fldCharType="end"/>
      </w:r>
      <w:r w:rsidRPr="006153AD">
        <w:rPr>
          <w:color w:val="000000"/>
          <w:sz w:val="22"/>
          <w:szCs w:val="22"/>
        </w:rPr>
        <w:t xml:space="preserve"> </w:t>
      </w:r>
      <w:r w:rsidRPr="006153AD">
        <w:rPr>
          <w:color w:val="000000"/>
          <w:sz w:val="22"/>
          <w:szCs w:val="22"/>
        </w:rPr>
        <w:fldChar w:fldCharType="begin" w:fldLock="1"/>
      </w:r>
      <w:r w:rsidRPr="006153AD">
        <w:rPr>
          <w:color w:val="000000"/>
          <w:sz w:val="22"/>
          <w:szCs w:val="22"/>
        </w:rPr>
        <w:instrText>ADDIN CSL_CITATION {"citationItems":[{"id":"ITEM-1","itemData":{"ISBN":"978-92-832-4520-9","author":[{"dropping-particle":"","family":"WHO Classification of Tumours Editorial Board","given":"","non-dropping-particle":"","parse-names":false,"suffix":""}],"id":"ITEM-1","issued":{"date-parts":[["2024"]]},"title":"Haematolymphoid Tumours","type":"book"},"uris":["http://www.mendeley.com/documents/?uuid=5ab94817-ea00-39dc-a135-45260c850f40"]}],"mendeley":{"formattedCitation":"(WHO Classification of Tumours Editorial Board, 2024)","plainTextFormattedCitation":"(WHO Classification of Tumours Editorial Board, 2024)","previouslyFormattedCitation":"(WHO Classification of Tumours Editorial Board, 2024)"},"properties":{"noteIndex":0},"schema":"https://github.com/citation-style-language/schema/raw/master/csl-citation.json"}</w:instrText>
      </w:r>
      <w:r w:rsidRPr="006153AD">
        <w:rPr>
          <w:color w:val="000000"/>
          <w:sz w:val="22"/>
          <w:szCs w:val="22"/>
        </w:rPr>
        <w:fldChar w:fldCharType="separate"/>
      </w:r>
      <w:r w:rsidRPr="006153AD">
        <w:rPr>
          <w:noProof/>
          <w:color w:val="000000"/>
          <w:sz w:val="22"/>
          <w:szCs w:val="22"/>
        </w:rPr>
        <w:t>(WHO Classification of Tumours Editorial Board, 2024)</w:t>
      </w:r>
      <w:r w:rsidRPr="006153AD">
        <w:rPr>
          <w:color w:val="000000"/>
          <w:sz w:val="22"/>
          <w:szCs w:val="22"/>
        </w:rPr>
        <w:fldChar w:fldCharType="end"/>
      </w:r>
      <w:r w:rsidRPr="006153AD">
        <w:rPr>
          <w:color w:val="000000"/>
          <w:sz w:val="22"/>
          <w:szCs w:val="22"/>
        </w:rPr>
        <w:t xml:space="preserve">. </w:t>
      </w:r>
      <w:r w:rsidRPr="006153AD">
        <w:rPr>
          <w:i/>
          <w:iCs/>
          <w:color w:val="000000"/>
          <w:sz w:val="22"/>
          <w:szCs w:val="22"/>
        </w:rPr>
        <w:t>Limfoma non-Hodgkin</w:t>
      </w:r>
      <w:r w:rsidRPr="006153AD">
        <w:rPr>
          <w:color w:val="000000"/>
          <w:sz w:val="22"/>
          <w:szCs w:val="22"/>
        </w:rPr>
        <w:t xml:space="preserve"> (NHL), sebagai salah satu keganasan sistem limfatik utama, secara global diperkirakan mencapai 82.469</w:t>
      </w:r>
      <w:r w:rsidRPr="006153AD">
        <w:rPr>
          <w:b/>
          <w:bCs/>
          <w:color w:val="000000"/>
          <w:sz w:val="22"/>
          <w:szCs w:val="22"/>
        </w:rPr>
        <w:t xml:space="preserve"> </w:t>
      </w:r>
      <w:r w:rsidRPr="006153AD">
        <w:rPr>
          <w:color w:val="000000"/>
          <w:sz w:val="22"/>
          <w:szCs w:val="22"/>
        </w:rPr>
        <w:t>kasus</w:t>
      </w:r>
      <w:r w:rsidRPr="006153AD">
        <w:rPr>
          <w:b/>
          <w:bCs/>
          <w:color w:val="000000"/>
          <w:sz w:val="22"/>
          <w:szCs w:val="22"/>
        </w:rPr>
        <w:t xml:space="preserve"> </w:t>
      </w:r>
      <w:r w:rsidRPr="006153AD">
        <w:rPr>
          <w:color w:val="000000"/>
          <w:sz w:val="22"/>
          <w:szCs w:val="22"/>
        </w:rPr>
        <w:t xml:space="preserve">baru pada tahun 2022 menurut estimasi </w:t>
      </w:r>
      <w:r w:rsidRPr="006153AD">
        <w:rPr>
          <w:color w:val="000000"/>
          <w:sz w:val="22"/>
          <w:szCs w:val="22"/>
        </w:rPr>
        <w:fldChar w:fldCharType="begin" w:fldLock="1"/>
      </w:r>
      <w:r w:rsidRPr="006153AD">
        <w:rPr>
          <w:color w:val="000000"/>
          <w:sz w:val="22"/>
          <w:szCs w:val="22"/>
        </w:rPr>
        <w:instrText>ADDIN CSL_CITATION {"citationItems":[{"id":"ITEM-1","itemData":{"DOI":"10.1002/ijc.33588","ISSN":"10970215","PMID":"33818764","abstract":"Our study briefly reviews the data sources and methods used in compiling the International Agency for Research on Cancer (IARC) GLOBOCAN cancer statistics for the year 2020 and summarises the main results. National estimates were calculated based on the best available data on cancer incidence from population-based cancer registries (PBCR) and mortality from the World Health Organization mortality database. Cancer incidence and mortality rates for 2020 by sex and age groups were estimated for 38 cancer sites and 185 countries or territories worldwide. There were an estimated 19.3 million (95% uncertainty interval [UI]: 19.0-19.6 million) new cases of cancer (18.1 million excluding non-melanoma skin cancer) and almost 10.0 million (95% UI: 9.7-10.2 million) deaths from cancer (9.9 million excluding non-melanoma skin cancer) worldwide in 2020. The most commonly diagnosed cancers worldwide were female breast cancer (2.26 million cases), lung (2.21) and prostate cancers (1.41); the most common causes of cancer death were lung (1.79 million deaths), liver (830000) and stomach cancers (769000).","author":[{"dropping-particle":"","family":"Ferlay","given":"Jacques","non-dropping-particle":"","parse-names":false,"suffix":""},{"dropping-particle":"","family":"Colombet","given":"Murielle","non-dropping-particle":"","parse-names":false,"suffix":""},{"dropping-particle":"","family":"Soerjomataram","given":"Isabelle","non-dropping-particle":"","parse-names":false,"suffix":""},{"dropping-particle":"","family":"Parkin","given":"Donald M.","non-dropping-particle":"","parse-names":false,"suffix":""},{"dropping-particle":"","family":"Piñeros","given":"Marion","non-dropping-particle":"","parse-names":false,"suffix":""},{"dropping-particle":"","family":"Znaor","given":"Ariana","non-dropping-particle":"","parse-names":false,"suffix":""},{"dropping-particle":"","family":"Bray","given":"Freddie","non-dropping-particle":"","parse-names":false,"suffix":""}],"container-title":"International Journal of Cancer","id":"ITEM-1","issue":"4","issued":{"date-parts":[["2021"]]},"page":"778-789","title":"Cancer statistics for the year 2020: An overview","type":"article-journal","volume":"149"},"uris":["http://www.mendeley.com/documents/?uuid=9e2638ea-7594-4d83-b3a0-b33013a4d1e1"]}],"mendeley":{"formattedCitation":"(Ferlay et al., 2021)","plainTextFormattedCitation":"(Ferlay et al., 2021)","previouslyFormattedCitation":"(Ferlay et al., 2021)"},"properties":{"noteIndex":0},"schema":"https://github.com/citation-style-language/schema/raw/master/csl-citation.json"}</w:instrText>
      </w:r>
      <w:r w:rsidRPr="006153AD">
        <w:rPr>
          <w:color w:val="000000"/>
          <w:sz w:val="22"/>
          <w:szCs w:val="22"/>
        </w:rPr>
        <w:fldChar w:fldCharType="separate"/>
      </w:r>
      <w:r w:rsidRPr="006153AD">
        <w:rPr>
          <w:noProof/>
          <w:color w:val="000000"/>
          <w:sz w:val="22"/>
          <w:szCs w:val="22"/>
        </w:rPr>
        <w:t>(Ferlay et al., 2021)</w:t>
      </w:r>
      <w:r w:rsidRPr="006153AD">
        <w:rPr>
          <w:color w:val="000000"/>
          <w:sz w:val="22"/>
          <w:szCs w:val="22"/>
        </w:rPr>
        <w:fldChar w:fldCharType="end"/>
      </w:r>
      <w:r w:rsidRPr="006153AD">
        <w:rPr>
          <w:color w:val="000000"/>
          <w:sz w:val="22"/>
          <w:szCs w:val="22"/>
        </w:rPr>
        <w:t xml:space="preserve">  dengan tingkat kematian sekitar 22.730 orang. Sejalan dengan tren global, insiden </w:t>
      </w:r>
      <w:r w:rsidRPr="006153AD">
        <w:rPr>
          <w:i/>
          <w:iCs/>
          <w:color w:val="000000"/>
          <w:sz w:val="22"/>
          <w:szCs w:val="22"/>
        </w:rPr>
        <w:t>limfoma non-Hodgkin</w:t>
      </w:r>
      <w:r w:rsidRPr="006153AD">
        <w:rPr>
          <w:color w:val="000000"/>
          <w:sz w:val="22"/>
          <w:szCs w:val="22"/>
        </w:rPr>
        <w:t xml:space="preserve"> (NHL) terus meningkat, dengan sekitar 292.256 kasus baru di 5 tahun terakhir terhitung pada tahun 2022 menurut data </w:t>
      </w:r>
      <w:r w:rsidRPr="006153AD">
        <w:rPr>
          <w:color w:val="000000"/>
          <w:sz w:val="22"/>
          <w:szCs w:val="22"/>
        </w:rPr>
        <w:fldChar w:fldCharType="begin" w:fldLock="1"/>
      </w:r>
      <w:r w:rsidRPr="006153AD">
        <w:rPr>
          <w:color w:val="000000"/>
          <w:sz w:val="22"/>
          <w:szCs w:val="22"/>
        </w:rPr>
        <w:instrText>ADDIN CSL_CITATION {"citationItems":[{"id":"ITEM-1","itemData":{"DOI":"10.1002/ijc.33588","ISSN":"10970215","PMID":"33818764","abstract":"Our study briefly reviews the data sources and methods used in compiling the International Agency for Research on Cancer (IARC) GLOBOCAN cancer statistics for the year 2020 and summarises the main results. National estimates were calculated based on the best available data on cancer incidence from population-based cancer registries (PBCR) and mortality from the World Health Organization mortality database. Cancer incidence and mortality rates for 2020 by sex and age groups were estimated for 38 cancer sites and 185 countries or territories worldwide. There were an estimated 19.3 million (95% uncertainty interval [UI]: 19.0-19.6 million) new cases of cancer (18.1 million excluding non-melanoma skin cancer) and almost 10.0 million (95% UI: 9.7-10.2 million) deaths from cancer (9.9 million excluding non-melanoma skin cancer) worldwide in 2020. The most commonly diagnosed cancers worldwide were female breast cancer (2.26 million cases), lung (2.21) and prostate cancers (1.41); the most common causes of cancer death were lung (1.79 million deaths), liver (830000) and stomach cancers (769000).","author":[{"dropping-particle":"","family":"Ferlay","given":"Jacques","non-dropping-particle":"","parse-names":false,"suffix":""},{"dropping-particle":"","family":"Colombet","given":"Murielle","non-dropping-particle":"","parse-names":false,"suffix":""},{"dropping-particle":"","family":"Soerjomataram","given":"Isabelle","non-dropping-particle":"","parse-names":false,"suffix":""},{"dropping-particle":"","family":"Parkin","given":"Donald M.","non-dropping-particle":"","parse-names":false,"suffix":""},{"dropping-particle":"","family":"Piñeros","given":"Marion","non-dropping-particle":"","parse-names":false,"suffix":""},{"dropping-particle":"","family":"Znaor","given":"Ariana","non-dropping-particle":"","parse-names":false,"suffix":""},{"dropping-particle":"","family":"Bray","given":"Freddie","non-dropping-particle":"","parse-names":false,"suffix":""}],"container-title":"International Journal of Cancer","id":"ITEM-1","issue":"4","issued":{"date-parts":[["2021"]]},"page":"778-789","title":"Cancer statistics for the year 2020: An overview","type":"article-journal","volume":"149"},"uris":["http://www.mendeley.com/documents/?uuid=9e2638ea-7594-4d83-b3a0-b33013a4d1e1"]}],"mendeley":{"formattedCitation":"(Ferlay et al., 2021)","plainTextFormattedCitation":"(Ferlay et al., 2021)","previouslyFormattedCitation":"(Ferlay et al., 2021)"},"properties":{"noteIndex":0},"schema":"https://github.com/citation-style-language/schema/raw/master/csl-citation.json"}</w:instrText>
      </w:r>
      <w:r w:rsidRPr="006153AD">
        <w:rPr>
          <w:color w:val="000000"/>
          <w:sz w:val="22"/>
          <w:szCs w:val="22"/>
        </w:rPr>
        <w:fldChar w:fldCharType="separate"/>
      </w:r>
      <w:r w:rsidRPr="006153AD">
        <w:rPr>
          <w:noProof/>
          <w:color w:val="000000"/>
          <w:sz w:val="22"/>
          <w:szCs w:val="22"/>
        </w:rPr>
        <w:t>(Ferlay et al., 2021)</w:t>
      </w:r>
      <w:r w:rsidRPr="006153AD">
        <w:rPr>
          <w:color w:val="000000"/>
          <w:sz w:val="22"/>
          <w:szCs w:val="22"/>
        </w:rPr>
        <w:fldChar w:fldCharType="end"/>
      </w:r>
      <w:r w:rsidRPr="006153AD">
        <w:rPr>
          <w:color w:val="000000"/>
          <w:sz w:val="22"/>
          <w:szCs w:val="22"/>
        </w:rPr>
        <w:t>. Selain itu, menurut tinjauan hematologi, NHL memiliki beban tertinggi dibanding keganasan hematologik lain berdasarkan prevalensi dan DALYs (</w:t>
      </w:r>
      <w:r w:rsidRPr="006153AD">
        <w:rPr>
          <w:i/>
          <w:iCs/>
          <w:color w:val="000000"/>
          <w:sz w:val="22"/>
          <w:szCs w:val="22"/>
        </w:rPr>
        <w:t>disability-adjusted life years</w:t>
      </w:r>
      <w:r w:rsidRPr="006153AD">
        <w:rPr>
          <w:color w:val="000000"/>
          <w:sz w:val="22"/>
          <w:szCs w:val="22"/>
        </w:rPr>
        <w:t xml:space="preserve">) </w:t>
      </w:r>
      <w:r w:rsidRPr="006153AD">
        <w:rPr>
          <w:color w:val="000000"/>
          <w:sz w:val="22"/>
          <w:szCs w:val="22"/>
        </w:rPr>
        <w:fldChar w:fldCharType="begin" w:fldLock="1"/>
      </w:r>
      <w:r w:rsidRPr="006153AD">
        <w:rPr>
          <w:color w:val="000000"/>
          <w:sz w:val="22"/>
          <w:szCs w:val="22"/>
        </w:rPr>
        <w:instrText>ADDIN CSL_CITATION {"citationItems":[{"id":"ITEM-1","itemData":{"DOI":"10.1186/s40164-025-00684-x","ISSN":"21623619","abstract":"Background: Hematologic malignancies are one of the most common types of cancer. This study aims to assess the global burden of hematologic malignancies and analyze the global epidemiological trends. Methods: Through the Global Burden of Disease Study 2021 (GBD 2021) and the Global Cancer Observatory (GLOBOCAN) 2022 project, we comprehensively evaluated the global prevalence, incidence, mortality, and disability-adjusted life-years (DALYs) of seven major hematologic malignancies, as well as their respective age-standardized rates (ASR) per 100,000 population. Regions were classified using the Socio-demographic Index (SDI) to evaluate the correlation between disease burden and economic level. In addition, we analyzed disease-related risk factors and predicted future trends up to 2040. Results: From 1990 to 2021/2022, the number of global hematologic malignancy cases showed a continuously increasing trend, especially for non-Hodgkin lymphoma. However, the age-standardized death rates (ASDR) and age-standardized DALY rates (ASDALYR) of all types of hematologic malignancies tended to be stable or decline. For acute lymphoblastic leukemia, the number of death cases, ASDR, and ASDALYR decreased significantly. Nevertheless, the trends of hematologic malignancies varied by gender, age, and SDI. The burden of hematologic malignancies was generally higher in the elderly and male populations. Of course, acute lymphoblastic leukemia also imposed a huge burden on children, Hodgkin lymphoma also significantly burdened young people. Moreover, regions with a higher SDI had a higher incidence rate. Deaths related to smoking and high body mass index still played an important role in various regions, especially in regions with a higher SDI. It is predicted that the global age-standardized incidence rates (ASIR) and ASDALYR will show a slow downward trend by 2040. Conclusions: Hematologic malignancies have remained a major global public health issue, with significant demographic and regional differences. The results of this study will provide a basis for analyzing the trends of the global disease burden of specific hematologic malignancies and offer a reference for health policymakers.","author":[{"dropping-particle":"","family":"Pan","given":"Tao","non-dropping-particle":"","parse-names":false,"suffix":""},{"dropping-particle":"","family":"Zhang","given":"Jiyue","non-dropping-particle":"","parse-names":false,"suffix":""},{"dropping-particle":"","family":"Wang","given":"Xiaomin","non-dropping-particle":"","parse-names":false,"suffix":""},{"dropping-particle":"","family":"Song","given":"Yuqin","non-dropping-particle":"","parse-names":false,"suffix":""}],"container-title":"Experimental Hematology and Oncology","id":"ITEM-1","issue":"1","issued":{"date-parts":[["2025"]]},"page":"1-25","title":"Global burden and trends of hematologic malignancies based on Global Cancer Observatory 2022 and Global Burden of Disease 2021","type":"article-journal","volume":"14"},"uris":["http://www.mendeley.com/documents/?uuid=6cd5287a-8c61-41c1-a3c0-d813ecc6eca1"]}],"mendeley":{"formattedCitation":"(Pan et al., 2025)","plainTextFormattedCitation":"(Pan et al., 2025)","previouslyFormattedCitation":"(Pan et al., 2025)"},"properties":{"noteIndex":0},"schema":"https://github.com/citation-style-language/schema/raw/master/csl-citation.json"}</w:instrText>
      </w:r>
      <w:r w:rsidRPr="006153AD">
        <w:rPr>
          <w:color w:val="000000"/>
          <w:sz w:val="22"/>
          <w:szCs w:val="22"/>
        </w:rPr>
        <w:fldChar w:fldCharType="separate"/>
      </w:r>
      <w:r w:rsidRPr="006153AD">
        <w:rPr>
          <w:noProof/>
          <w:color w:val="000000"/>
          <w:sz w:val="22"/>
          <w:szCs w:val="22"/>
        </w:rPr>
        <w:t>(Pan et al., 2025)</w:t>
      </w:r>
      <w:r w:rsidRPr="006153AD">
        <w:rPr>
          <w:color w:val="000000"/>
          <w:sz w:val="22"/>
          <w:szCs w:val="22"/>
        </w:rPr>
        <w:fldChar w:fldCharType="end"/>
      </w:r>
      <w:r w:rsidRPr="006153AD">
        <w:rPr>
          <w:color w:val="000000"/>
          <w:sz w:val="22"/>
          <w:szCs w:val="22"/>
        </w:rPr>
        <w:t>.</w:t>
      </w:r>
    </w:p>
    <w:p w14:paraId="6D037640" w14:textId="77777777" w:rsidR="00F7597E" w:rsidRPr="006153AD" w:rsidRDefault="00F7597E" w:rsidP="006153AD">
      <w:pPr>
        <w:pStyle w:val="NormalWeb"/>
        <w:spacing w:before="0" w:beforeAutospacing="0" w:after="0" w:afterAutospacing="0"/>
        <w:ind w:firstLine="426"/>
        <w:jc w:val="both"/>
        <w:rPr>
          <w:color w:val="000000"/>
          <w:sz w:val="22"/>
          <w:szCs w:val="22"/>
        </w:rPr>
      </w:pPr>
      <w:r w:rsidRPr="006153AD">
        <w:rPr>
          <w:color w:val="000000"/>
          <w:sz w:val="22"/>
          <w:szCs w:val="22"/>
        </w:rPr>
        <w:t xml:space="preserve">Berdasarkan hasil beberapa penelitian data di Indonesia studi retrospektif di Rumah Sakit Cipto Mangunkusumo mencatat 7.368 kasus </w:t>
      </w:r>
      <w:r w:rsidRPr="006153AD">
        <w:rPr>
          <w:i/>
          <w:iCs/>
          <w:color w:val="000000"/>
          <w:sz w:val="22"/>
          <w:szCs w:val="22"/>
        </w:rPr>
        <w:t xml:space="preserve">limfoma non-Hodgkin </w:t>
      </w:r>
      <w:r w:rsidRPr="006153AD">
        <w:rPr>
          <w:color w:val="000000"/>
          <w:sz w:val="22"/>
          <w:szCs w:val="22"/>
        </w:rPr>
        <w:t xml:space="preserve">(NHL) selama 15 tahun (2009–2023), di mana 90,6% di antaranya adalah limfoma B-sel, dengan subtype </w:t>
      </w:r>
      <w:r w:rsidRPr="006153AD">
        <w:rPr>
          <w:i/>
          <w:iCs/>
          <w:color w:val="000000"/>
          <w:sz w:val="22"/>
          <w:szCs w:val="22"/>
        </w:rPr>
        <w:t>diffuse large B-cell lymphoma</w:t>
      </w:r>
      <w:r w:rsidRPr="006153AD">
        <w:rPr>
          <w:color w:val="000000"/>
          <w:sz w:val="22"/>
          <w:szCs w:val="22"/>
        </w:rPr>
        <w:t xml:space="preserve"> (DLBCL) paling dominan (68,8%) dan </w:t>
      </w:r>
      <w:r w:rsidRPr="006153AD">
        <w:rPr>
          <w:i/>
          <w:iCs/>
          <w:color w:val="000000"/>
          <w:sz w:val="22"/>
          <w:szCs w:val="22"/>
        </w:rPr>
        <w:t>follicular lymphoma</w:t>
      </w:r>
      <w:r w:rsidRPr="006153AD">
        <w:rPr>
          <w:color w:val="000000"/>
          <w:sz w:val="22"/>
          <w:szCs w:val="22"/>
        </w:rPr>
        <w:t xml:space="preserve"> (8,8%) </w:t>
      </w:r>
      <w:r w:rsidRPr="006153AD">
        <w:rPr>
          <w:color w:val="000000"/>
          <w:sz w:val="22"/>
          <w:szCs w:val="22"/>
        </w:rPr>
        <w:fldChar w:fldCharType="begin" w:fldLock="1"/>
      </w:r>
      <w:r w:rsidRPr="006153AD">
        <w:rPr>
          <w:color w:val="000000"/>
          <w:sz w:val="22"/>
          <w:szCs w:val="22"/>
        </w:rPr>
        <w:instrText>ADDIN CSL_CITATION {"citationItems":[{"id":"ITEM-1","itemData":{"DOI":"10.1007/s00277-025-06261-w","ISSN":"14320584","PMID":"39992428","abstract":"Objectives: This study aimed to provide an overview of temporal trends in incidence and mortality of non-Hodgkin lymphoma (NHL) from 1992 to 2021 at global, regional, and national levels, with a special focus on their associations with age, period and cohort. Methods: Data were obtained from the Global Burden of Disease Study 2021. We presented temporal trends in NHL incidence and mortality for the world and 204 countries and territories from 1992 to 2021. An age-period-cohort (APC) model was adopted to estimate net drifts (overall annual percentage change), local drifts (annual percentage change in each age group), longitudinal age curves (expected longitudinal age-specific rate), and period (cohort) relative risks. Results: The global age-standardized incidence rate (ASIR) and age-standardized mortality rate (ASMR) for NHL were 7.14 (95% uncertainty interval [UI]: 6.58, 7.66) and 3.19 (95% UI: 2.93, 3.44) per 100,000 population in 2021, respectively. From 1992 to 2021, the global net drift of incidence rate was 0.11% (95% confidential intervals [CI]: 0.07%, 0.15%) per year, ranging from - 0.60% (95% CI: -0.66%, -0.54%) in high socio-demographic index (SDI) region to 1.51% (95% CI: 1.46%, 1.57%) in middle SDI region, with 100 countries and territories presenting increasing trends. Similar patterns can be found in the net drift of mortality rate, with 19 countries and territories showing upward trends. Age effects illustrated that incidence and mortality risks progressively increased with advancing age across different SDI regions. Period effects on incidence presented rising risks in high-middle, middle and low-middle SDI regions, whereas on mortality exhibited persistent downward trends in high and high-middle SDI regions. High-middle and middle SDI regions presented initially unfavourable and then favourable trends in incidence and mortality risks across successive birth cohorts. A strong heterogeneity was found in age, period and cohort effects on incidence and mortality across countries. Conclusions: Despite observing an increasing temporal trend in NHL incidence, coupled with a declining trend in mortality, NHL represented a substantial public health challenge worldwide. Temporal trends in NHL were not completely commensurate with socioeconomic development and varied widely across countries. Timely intervention should be conducted, especially for middle-aged and aged individuals.","author":[{"dropping-particle":"","family":"Tang","given":"Shanshan","non-dropping-particle":"","parse-names":false,"suffix":""},{"dropping-particle":"","family":"Cao","given":"Jin","non-dropping-particle":"","parse-names":false,"suffix":""},{"dropping-particle":"","family":"Jiang","given":"Denan","non-dropping-particle":"","parse-names":false,"suffix":""},{"dropping-particle":"","family":"Zhu","given":"Longzhu","non-dropping-particle":"","parse-names":false,"suffix":""},{"dropping-particle":"","family":"Luo","given":"Zeyu","non-dropping-particle":"","parse-names":false,"suffix":""},{"dropping-particle":"","family":"Shan","given":"Shiyi","non-dropping-particle":"","parse-names":false,"suffix":""},{"dropping-particle":"","family":"Zhou","given":"Jiali","non-dropping-particle":"","parse-names":false,"suffix":""},{"dropping-particle":"","family":"Ying","given":"Jiayao","non-dropping-particle":"","parse-names":false,"suffix":""},{"dropping-particle":"","family":"Wu","given":"Jing","non-dropping-particle":"","parse-names":false,"suffix":""},{"dropping-particle":"","family":"Song","given":"Peige","non-dropping-particle":"","parse-names":false,"suffix":""},{"dropping-particle":"","family":"Li","given":"Wei","non-dropping-particle":"","parse-names":false,"suffix":""}],"container-title":"Annals of Hematology","id":"ITEM-1","issue":"3","issued":{"date-parts":[["2025"]]},"page":"1679-1696","title":"Global, regional and national temporal trends in incidence and mortality of non-Hodgkin lymphoma from 1992 to 2021: an age-period-cohort analysis","type":"article-journal","volume":"104"},"uris":["http://www.mendeley.com/documents/?uuid=e2e9429c-e057-40c6-81e7-7973a8c1bcc4"]}],"mendeley":{"formattedCitation":"(S. Tang et al., 2025)","plainTextFormattedCitation":"(S. Tang et al., 2025)","previouslyFormattedCitation":"(S. Tang et al., 2025)"},"properties":{"noteIndex":0},"schema":"https://github.com/citation-style-language/schema/raw/master/csl-citation.json"}</w:instrText>
      </w:r>
      <w:r w:rsidRPr="006153AD">
        <w:rPr>
          <w:color w:val="000000"/>
          <w:sz w:val="22"/>
          <w:szCs w:val="22"/>
        </w:rPr>
        <w:fldChar w:fldCharType="separate"/>
      </w:r>
      <w:r w:rsidRPr="006153AD">
        <w:rPr>
          <w:noProof/>
          <w:color w:val="000000"/>
          <w:sz w:val="22"/>
          <w:szCs w:val="22"/>
        </w:rPr>
        <w:t>(S. Tang et al., 2025)</w:t>
      </w:r>
      <w:r w:rsidRPr="006153AD">
        <w:rPr>
          <w:color w:val="000000"/>
          <w:sz w:val="22"/>
          <w:szCs w:val="22"/>
        </w:rPr>
        <w:fldChar w:fldCharType="end"/>
      </w:r>
      <w:r w:rsidRPr="006153AD">
        <w:rPr>
          <w:color w:val="000000"/>
          <w:sz w:val="22"/>
          <w:szCs w:val="22"/>
        </w:rPr>
        <w:t xml:space="preserve">. Penelitian tersebut juga menunjukkan bahwa sebagian besar kasus limfoma lebih sering terjadi pada laki-laki (57,7%), dan keterlibatan lokasi extranodal terutama tonsil dan saluran napas atas cukup umum di antara pasien Indonesia dengan NHL </w:t>
      </w:r>
      <w:r w:rsidRPr="006153AD">
        <w:rPr>
          <w:color w:val="000000"/>
          <w:sz w:val="22"/>
          <w:szCs w:val="22"/>
        </w:rPr>
        <w:fldChar w:fldCharType="begin" w:fldLock="1"/>
      </w:r>
      <w:r w:rsidRPr="006153AD">
        <w:rPr>
          <w:color w:val="000000"/>
          <w:sz w:val="22"/>
          <w:szCs w:val="22"/>
        </w:rPr>
        <w:instrText>ADDIN CSL_CITATION {"citationItems":[{"id":"ITEM-1","itemData":{"DOI":"10.1200/go-24-00346","ISSN":"2687-8941","PMID":"39509674","abstract":"This study highlights the distribution and burden of NHL in Indonesia over 15 years and aligns with the results observed in other Asian countries. The rising incidence of lymphoma requires improved health care infrastructure and prevention strategies.","author":[{"dropping-particle":"","family":"Harahap","given":"Agnes Stephanie","non-dropping-particle":"","parse-names":false,"suffix":""},{"dropping-particle":"","family":"Ham","given":"Maria Francisca","non-dropping-particle":"","parse-names":false,"suffix":""},{"dropping-particle":"","family":"Kurniawan","given":"Andree","non-dropping-particle":"","parse-names":false,"suffix":""},{"dropping-particle":"","family":"Charles","given":"Stefanny","non-dropping-particle":"","parse-names":false,"suffix":""},{"dropping-particle":"","family":"Wijovi","given":"Felix","non-dropping-particle":"","parse-names":false,"suffix":""},{"dropping-particle":"","family":"Sukrisman","given":"Lugyanti","non-dropping-particle":"","parse-names":false,"suffix":""}],"container-title":"JCO Global Oncology","id":"ITEM-1","issue":"10","issued":{"date-parts":[["2024"]]},"page":"1-10","title":"Fifteen Years of Non-Hodgkin Lymphoma in an Indonesian National Referral Hospital: Epidemiologic Trends and Diagnostic Challenges","type":"article-journal"},"uris":["http://www.mendeley.com/documents/?uuid=a18d1ab9-ecb0-4f62-b14f-d6e0d2519604"]}],"mendeley":{"formattedCitation":"(Harahap et al., 2024)","plainTextFormattedCitation":"(Harahap et al., 2024)","previouslyFormattedCitation":"(Harahap et al., 2024)"},"properties":{"noteIndex":0},"schema":"https://github.com/citation-style-language/schema/raw/master/csl-citation.json"}</w:instrText>
      </w:r>
      <w:r w:rsidRPr="006153AD">
        <w:rPr>
          <w:color w:val="000000"/>
          <w:sz w:val="22"/>
          <w:szCs w:val="22"/>
        </w:rPr>
        <w:fldChar w:fldCharType="separate"/>
      </w:r>
      <w:r w:rsidRPr="006153AD">
        <w:rPr>
          <w:noProof/>
          <w:color w:val="000000"/>
          <w:sz w:val="22"/>
          <w:szCs w:val="22"/>
        </w:rPr>
        <w:t>(Harahap et al., 2024)</w:t>
      </w:r>
      <w:r w:rsidRPr="006153AD">
        <w:rPr>
          <w:color w:val="000000"/>
          <w:sz w:val="22"/>
          <w:szCs w:val="22"/>
        </w:rPr>
        <w:fldChar w:fldCharType="end"/>
      </w:r>
      <w:r w:rsidRPr="006153AD">
        <w:rPr>
          <w:color w:val="000000"/>
          <w:sz w:val="22"/>
          <w:szCs w:val="22"/>
        </w:rPr>
        <w:t xml:space="preserve">. Secara keseluruhan, data terbaru menegaskan bahwa </w:t>
      </w:r>
      <w:proofErr w:type="gramStart"/>
      <w:r w:rsidRPr="006153AD">
        <w:rPr>
          <w:color w:val="000000"/>
          <w:sz w:val="22"/>
          <w:szCs w:val="22"/>
        </w:rPr>
        <w:t>limfoma  khususnya</w:t>
      </w:r>
      <w:proofErr w:type="gramEnd"/>
      <w:r w:rsidRPr="006153AD">
        <w:rPr>
          <w:color w:val="000000"/>
          <w:sz w:val="22"/>
          <w:szCs w:val="22"/>
        </w:rPr>
        <w:t xml:space="preserve"> NHL tipe sel B dan terutama DLBCL  merupakan bentuk limfoma paling umum di Indonesia.</w:t>
      </w:r>
    </w:p>
    <w:p w14:paraId="2FCAD729" w14:textId="77777777" w:rsidR="00920D56" w:rsidRDefault="00F7597E" w:rsidP="006153AD">
      <w:pPr>
        <w:pStyle w:val="NormalWeb"/>
        <w:spacing w:before="0" w:beforeAutospacing="0" w:after="0" w:afterAutospacing="0"/>
        <w:ind w:firstLine="426"/>
        <w:jc w:val="both"/>
        <w:rPr>
          <w:color w:val="1B1B1B"/>
          <w:sz w:val="22"/>
          <w:szCs w:val="22"/>
        </w:rPr>
      </w:pPr>
      <w:proofErr w:type="gramStart"/>
      <w:r w:rsidRPr="006153AD">
        <w:rPr>
          <w:color w:val="000000"/>
          <w:sz w:val="22"/>
          <w:szCs w:val="22"/>
        </w:rPr>
        <w:t>Pasien limfoma sering mengalami malnutrisi.</w:t>
      </w:r>
      <w:proofErr w:type="gramEnd"/>
      <w:r w:rsidRPr="006153AD">
        <w:rPr>
          <w:color w:val="000000"/>
          <w:sz w:val="22"/>
          <w:szCs w:val="22"/>
        </w:rPr>
        <w:t xml:space="preserve"> </w:t>
      </w:r>
      <w:r w:rsidRPr="006153AD">
        <w:rPr>
          <w:color w:val="1B1B1B"/>
          <w:sz w:val="22"/>
          <w:szCs w:val="22"/>
        </w:rPr>
        <w:t xml:space="preserve">Penelitian yang dilakukan di Rumah Sakit Umum Dr. Hasan Sadikin Bandung menunjukkan bahwa pasien dengan </w:t>
      </w:r>
    </w:p>
    <w:p w14:paraId="6E7C90B2" w14:textId="77777777" w:rsidR="00920D56" w:rsidRDefault="00920D56" w:rsidP="00920D56">
      <w:pPr>
        <w:pStyle w:val="NormalWeb"/>
        <w:spacing w:before="0" w:beforeAutospacing="0" w:after="0" w:afterAutospacing="0"/>
        <w:jc w:val="both"/>
        <w:rPr>
          <w:color w:val="1B1B1B"/>
          <w:sz w:val="22"/>
          <w:szCs w:val="22"/>
        </w:rPr>
      </w:pPr>
    </w:p>
    <w:p w14:paraId="6A18A142" w14:textId="13AD0056" w:rsidR="00F7597E" w:rsidRPr="006153AD" w:rsidRDefault="00F7597E" w:rsidP="00920D56">
      <w:pPr>
        <w:pStyle w:val="NormalWeb"/>
        <w:spacing w:before="0" w:beforeAutospacing="0" w:after="0" w:afterAutospacing="0"/>
        <w:jc w:val="both"/>
        <w:rPr>
          <w:color w:val="000000"/>
          <w:sz w:val="22"/>
          <w:szCs w:val="22"/>
        </w:rPr>
      </w:pPr>
      <w:r w:rsidRPr="006153AD">
        <w:rPr>
          <w:color w:val="1B1B1B"/>
          <w:sz w:val="22"/>
          <w:szCs w:val="22"/>
        </w:rPr>
        <w:t xml:space="preserve">limfoma non-Hodgkin (NHL) 70,5% pasien mengalami malnutrisi sedang dan 29,5% mengalami malnutrisi berat </w:t>
      </w:r>
      <w:r w:rsidRPr="006153AD">
        <w:rPr>
          <w:color w:val="1B1B1B"/>
          <w:sz w:val="22"/>
          <w:szCs w:val="22"/>
        </w:rPr>
        <w:fldChar w:fldCharType="begin" w:fldLock="1"/>
      </w:r>
      <w:r w:rsidRPr="006153AD">
        <w:rPr>
          <w:color w:val="1B1B1B"/>
          <w:sz w:val="22"/>
          <w:szCs w:val="22"/>
        </w:rPr>
        <w:instrText>ADDIN CSL_CITATION {"citationItems":[{"id":"ITEM-1","itemData":{"ISSN":"2686-6668","abstract":"Nutrition is a part of cancer management during therapy, recovery, remission, and recurrence prevention. Malnutrition and cachexia often occur in cancer patients and influence morbidity, mortality, and quality of life, especially in the advanced stage of malignancy. We reported a case of cutaneous lymphoma with anemia and hypoalbuminemia in the terminal condition. This case report focuses on nutritional therapy and palliative care on nutrition. We reported a case of a 40-year-old-man with Cutaneous Lymphoma (CL) and moderate protein-energy malnutrition that was developed to severe protein-energy malnutrition due to difficulty in dietary access. He had an eating problem because of multiple tumors and ulcers on his mouth. We provided access for parenteral nutrition from Central Venous Catheter (CVC) and orogastric tube (OGT) for enteral feeding. Even though the dietary target was never accomplished, there was a slight recovery on hypoalbuminemia and renal function during hospitalization. This case showed a considerable challenge in nutritional therapy due to limited dietary access. Since death was inevitable, we have tried different dietary access to provide adequate intake.","author":[{"dropping-particle":"","family":"Tyas","given":"Fitri","non-dropping-particle":"","parse-names":false,"suffix":""},{"dropping-particle":"","family":"As'ad","given":"Suryani","non-dropping-particle":"","parse-names":false,"suffix":""},{"dropping-particle":"","family":"Safitri","given":"Asrini","non-dropping-particle":"","parse-names":false,"suffix":""},{"dropping-particle":"","family":"Bamahry","given":"Aryanti","non-dropping-particle":"","parse-names":false,"suffix":""},{"dropping-particle":"","family":"Access","given":"Open","non-dropping-particle":"","parse-names":false,"suffix":""}],"container-title":"Green Medical Journal","id":"ITEM-1","issue":"2","issued":{"date-parts":[["2020"]]},"page":"2686-6668","title":"Publisher: Faculty of Medicine Universitas Muslim Indonesia 66","type":"article-journal","volume":"2"},"uris":["http://www.mendeley.com/documents/?uuid=43e28199-332e-483f-ab64-a85ba7acb7d3"]}],"mendeley":{"formattedCitation":"(Tyas et al., 2020)","plainTextFormattedCitation":"(Tyas et al., 2020)","previouslyFormattedCitation":"(Tyas et al., 2020)"},"properties":{"noteIndex":0},"schema":"https://github.com/citation-style-language/schema/raw/master/csl-citation.json"}</w:instrText>
      </w:r>
      <w:r w:rsidRPr="006153AD">
        <w:rPr>
          <w:color w:val="1B1B1B"/>
          <w:sz w:val="22"/>
          <w:szCs w:val="22"/>
        </w:rPr>
        <w:fldChar w:fldCharType="separate"/>
      </w:r>
      <w:r w:rsidRPr="006153AD">
        <w:rPr>
          <w:noProof/>
          <w:color w:val="1B1B1B"/>
          <w:sz w:val="22"/>
          <w:szCs w:val="22"/>
        </w:rPr>
        <w:t>(Tyas et al., 2020)</w:t>
      </w:r>
      <w:r w:rsidRPr="006153AD">
        <w:rPr>
          <w:color w:val="1B1B1B"/>
          <w:sz w:val="22"/>
          <w:szCs w:val="22"/>
        </w:rPr>
        <w:fldChar w:fldCharType="end"/>
      </w:r>
      <w:r w:rsidRPr="006153AD">
        <w:rPr>
          <w:color w:val="1B1B1B"/>
          <w:sz w:val="22"/>
          <w:szCs w:val="22"/>
        </w:rPr>
        <w:t xml:space="preserve">. Hasil pantauan dan evaluasi gizi pada pasien limfoma di temukan adanya kemampuan konsumsi asupan protein, lemak dan karbohidrat yang menurun sebanyak 34 % </w:t>
      </w:r>
      <w:r w:rsidRPr="006153AD">
        <w:rPr>
          <w:color w:val="1B1B1B"/>
          <w:sz w:val="22"/>
          <w:szCs w:val="22"/>
        </w:rPr>
        <w:fldChar w:fldCharType="begin" w:fldLock="1"/>
      </w:r>
      <w:r w:rsidRPr="006153AD">
        <w:rPr>
          <w:color w:val="1B1B1B"/>
          <w:sz w:val="22"/>
          <w:szCs w:val="22"/>
        </w:rPr>
        <w:instrText>ADDIN CSL_CITATION {"citationItems":[{"id":"ITEM-1","itemData":{"author":[{"dropping-particle":"","family":"Supiyadnya","given":"I Gusti Ngurah","non-dropping-particle":"","parse-names":false,"suffix":""},{"dropping-particle":"","family":"Rinayanti","given":"Ni Made","non-dropping-particle":"","parse-names":false,"suffix":""},{"dropping-particle":"","family":"Rowa","given":"Sitti Sahariah","non-dropping-particle":"","parse-names":false,"suffix":""},{"dropping-particle":"","family":"Raul","given":"Suriani","non-dropping-particle":"","parse-names":false,"suffix":""}],"id":"ITEM-1","issue":"4","issued":{"date-parts":[["2022"]]},"page":"281-289","title":"Studi Kasus Penatalaksanaan Gizi Pada Pasien Anak Dengan Diagnosa Hiperleukositosis , ec Susp Leukemia dd limfoma","type":"article-journal","volume":"14"},"uris":["http://www.mendeley.com/documents/?uuid=e17d18aa-0535-4aa5-9377-a6b0f505d44e"]}],"mendeley":{"formattedCitation":"(Supiyadnya et al., 2022)","plainTextFormattedCitation":"(Supiyadnya et al., 2022)","previouslyFormattedCitation":"(Supiyadnya et al., 2022)"},"properties":{"noteIndex":0},"schema":"https://github.com/citation-style-language/schema/raw/master/csl-citation.json"}</w:instrText>
      </w:r>
      <w:r w:rsidRPr="006153AD">
        <w:rPr>
          <w:color w:val="1B1B1B"/>
          <w:sz w:val="22"/>
          <w:szCs w:val="22"/>
        </w:rPr>
        <w:fldChar w:fldCharType="separate"/>
      </w:r>
      <w:r w:rsidRPr="006153AD">
        <w:rPr>
          <w:noProof/>
          <w:color w:val="1B1B1B"/>
          <w:sz w:val="22"/>
          <w:szCs w:val="22"/>
        </w:rPr>
        <w:t>(Supiyadnya et al., 2022)</w:t>
      </w:r>
      <w:r w:rsidRPr="006153AD">
        <w:rPr>
          <w:color w:val="1B1B1B"/>
          <w:sz w:val="22"/>
          <w:szCs w:val="22"/>
        </w:rPr>
        <w:fldChar w:fldCharType="end"/>
      </w:r>
      <w:r w:rsidRPr="006153AD">
        <w:rPr>
          <w:color w:val="1B1B1B"/>
          <w:sz w:val="22"/>
          <w:szCs w:val="22"/>
        </w:rPr>
        <w:t xml:space="preserve">. Pasien limfoma juga dilaporkan banyak yang mengalami penurunan indeks </w:t>
      </w:r>
      <w:r w:rsidRPr="006153AD">
        <w:rPr>
          <w:i/>
          <w:iCs/>
          <w:color w:val="1B1B1B"/>
          <w:sz w:val="22"/>
          <w:szCs w:val="22"/>
        </w:rPr>
        <w:t>Healthy Eating Index</w:t>
      </w:r>
      <w:r w:rsidRPr="006153AD">
        <w:rPr>
          <w:color w:val="1B1B1B"/>
          <w:sz w:val="22"/>
          <w:szCs w:val="22"/>
        </w:rPr>
        <w:t xml:space="preserve"> (HEI) sebesar 20 yang memiliki nilai nutrisi yang sangat buruk </w:t>
      </w:r>
      <w:r w:rsidRPr="006153AD">
        <w:rPr>
          <w:color w:val="1B1B1B"/>
          <w:sz w:val="22"/>
          <w:szCs w:val="22"/>
        </w:rPr>
        <w:fldChar w:fldCharType="begin" w:fldLock="1"/>
      </w:r>
      <w:r w:rsidRPr="006153AD">
        <w:rPr>
          <w:color w:val="1B1B1B"/>
          <w:sz w:val="22"/>
          <w:szCs w:val="22"/>
        </w:rPr>
        <w:instrText>ADDIN CSL_CITATION {"citationItems":[{"id":"ITEM-1","itemData":{"author":[{"dropping-particle":"","family":"Rusyda","given":"Akifa Laila","non-dropping-particle":"","parse-names":false,"suffix":""},{"dropping-particle":"","family":"Masyarakat","given":"Gizi","non-dropping-particle":"","parse-names":false,"suffix":""},{"dropping-particle":"","family":"Manusia","given":"Fakultas Ekologi","non-dropping-particle":"","parse-names":false,"suffix":""},{"dropping-particle":"","family":"Tinggi","given":"Energi","non-dropping-particle":"","parse-names":false,"suffix":""},{"dropping-particle":"","family":"Hodgkin","given":"Limfoma","non-dropping-particle":"","parse-names":false,"suffix":""},{"dropping-particle":"","family":"Tinggi","given":"Protein","non-dropping-particle":"","parse-names":false,"suffix":""}],"id":"ITEM-1","issue":"1","issued":{"date-parts":[["2022"]]},"page":"43-52","title":"Laporan kasus","type":"article-journal","volume":"7"},"uris":["http://www.mendeley.com/documents/?uuid=c71cd692-9cca-4ef2-bf96-7e1afbbb6386"]}],"mendeley":{"formattedCitation":"(Rusyda et al., 2022)","plainTextFormattedCitation":"(Rusyda et al., 2022)","previouslyFormattedCitation":"(Rusyda et al., 2022)"},"properties":{"noteIndex":0},"schema":"https://github.com/citation-style-language/schema/raw/master/csl-citation.json"}</w:instrText>
      </w:r>
      <w:r w:rsidRPr="006153AD">
        <w:rPr>
          <w:color w:val="1B1B1B"/>
          <w:sz w:val="22"/>
          <w:szCs w:val="22"/>
        </w:rPr>
        <w:fldChar w:fldCharType="separate"/>
      </w:r>
      <w:r w:rsidRPr="006153AD">
        <w:rPr>
          <w:noProof/>
          <w:color w:val="1B1B1B"/>
          <w:sz w:val="22"/>
          <w:szCs w:val="22"/>
        </w:rPr>
        <w:t>(Rusyda et al., 2022)</w:t>
      </w:r>
      <w:r w:rsidRPr="006153AD">
        <w:rPr>
          <w:color w:val="1B1B1B"/>
          <w:sz w:val="22"/>
          <w:szCs w:val="22"/>
        </w:rPr>
        <w:fldChar w:fldCharType="end"/>
      </w:r>
      <w:r w:rsidRPr="006153AD">
        <w:rPr>
          <w:color w:val="1B1B1B"/>
          <w:sz w:val="22"/>
          <w:szCs w:val="22"/>
        </w:rPr>
        <w:t xml:space="preserve">. Dalam </w:t>
      </w:r>
      <w:r w:rsidRPr="006153AD">
        <w:rPr>
          <w:color w:val="1B1B1B"/>
          <w:sz w:val="22"/>
          <w:szCs w:val="22"/>
        </w:rPr>
        <w:fldChar w:fldCharType="begin" w:fldLock="1"/>
      </w:r>
      <w:r w:rsidRPr="006153AD">
        <w:rPr>
          <w:color w:val="1B1B1B"/>
          <w:sz w:val="22"/>
          <w:szCs w:val="22"/>
        </w:rPr>
        <w:instrText>ADDIN CSL_CITATION {"citationItems":[{"id":"ITEM-1","itemData":{"author":[{"dropping-particle":"","family":"Islam","given":"Ahmad Dinul","non-dropping-particle":"","parse-names":false,"suffix":""}],"id":"ITEM-1","issue":"1","issued":{"date-parts":[["2022"]]},"page":"57-62","title":"The Impact of Chemotherapy to Nutritional Status Based on Subjective Global Assessment ( SGA ) in Breast Cancer Patients ( Ca . Mamae )","type":"article-journal","volume":"2"},"uris":["http://www.mendeley.com/documents/?uuid=1846e666-20f6-46a3-ab24-399f1fc0bf68"]}],"mendeley":{"formattedCitation":"(Islam, 2022)","plainTextFormattedCitation":"(Islam, 2022)","previouslyFormattedCitation":"(Islam, 2022)"},"properties":{"noteIndex":0},"schema":"https://github.com/citation-style-language/schema/raw/master/csl-citation.json"}</w:instrText>
      </w:r>
      <w:r w:rsidRPr="006153AD">
        <w:rPr>
          <w:color w:val="1B1B1B"/>
          <w:sz w:val="22"/>
          <w:szCs w:val="22"/>
        </w:rPr>
        <w:fldChar w:fldCharType="separate"/>
      </w:r>
      <w:r w:rsidRPr="006153AD">
        <w:rPr>
          <w:noProof/>
          <w:color w:val="1B1B1B"/>
          <w:sz w:val="22"/>
          <w:szCs w:val="22"/>
        </w:rPr>
        <w:t>(Islam, 2022)</w:t>
      </w:r>
      <w:r w:rsidRPr="006153AD">
        <w:rPr>
          <w:color w:val="1B1B1B"/>
          <w:sz w:val="22"/>
          <w:szCs w:val="22"/>
        </w:rPr>
        <w:fldChar w:fldCharType="end"/>
      </w:r>
      <w:r w:rsidRPr="006153AD">
        <w:rPr>
          <w:color w:val="1B1B1B"/>
          <w:sz w:val="22"/>
          <w:szCs w:val="22"/>
        </w:rPr>
        <w:t xml:space="preserve"> juga dilaporkan dari 20 pasien kanker yang menjalani kemoterapi terdapat status gizi yang buruk sebanyak 10 orang atau 50% dengan mengalami  penurunan  asupan  selama  1  minggu terakhir  sebesar 22,5%. </w:t>
      </w:r>
      <w:r w:rsidRPr="006153AD">
        <w:rPr>
          <w:color w:val="1B1B1B"/>
          <w:sz w:val="22"/>
          <w:szCs w:val="22"/>
        </w:rPr>
        <w:fldChar w:fldCharType="begin" w:fldLock="1"/>
      </w:r>
      <w:r w:rsidRPr="006153AD">
        <w:rPr>
          <w:color w:val="1B1B1B"/>
          <w:sz w:val="22"/>
          <w:szCs w:val="22"/>
        </w:rPr>
        <w:instrText>ADDIN CSL_CITATION {"citationItems":[{"id":"ITEM-1","itemData":{"author":[{"dropping-particle":"","family":"Hidayat","given":"Alfat","non-dropping-particle":"","parse-names":false,"suffix":""},{"dropping-particle":"","family":"Purwani","given":"Luh Eka","non-dropping-particle":"","parse-names":false,"suffix":""},{"dropping-particle":"","family":"Nugrohowati","given":"Nunuk","non-dropping-particle":"","parse-names":false,"suffix":""}],"id":"ITEM-1","issue":"2","issued":{"date-parts":[["2020"]]},"page":"110-118","title":"STATUS GIZI PASIEN KANKER PAYUDARA STADIUM II DAN III DI RSUP FATMAWATI JAKARTA PADA TAHUN 2018-2019","type":"article-journal","volume":"15"},"uris":["http://www.mendeley.com/documents/?uuid=d744e5ee-bb1a-4dbc-af67-36cf3a7387bc"]}],"mendeley":{"formattedCitation":"(Hidayat et al., 2020)","plainTextFormattedCitation":"(Hidayat et al., 2020)","previouslyFormattedCitation":"(Hidayat et al., 2020)"},"properties":{"noteIndex":0},"schema":"https://github.com/citation-style-language/schema/raw/master/csl-citation.json"}</w:instrText>
      </w:r>
      <w:r w:rsidRPr="006153AD">
        <w:rPr>
          <w:color w:val="1B1B1B"/>
          <w:sz w:val="22"/>
          <w:szCs w:val="22"/>
        </w:rPr>
        <w:fldChar w:fldCharType="separate"/>
      </w:r>
      <w:r w:rsidRPr="006153AD">
        <w:rPr>
          <w:noProof/>
          <w:color w:val="1B1B1B"/>
          <w:sz w:val="22"/>
          <w:szCs w:val="22"/>
        </w:rPr>
        <w:t>(Hidayat et al., 2020)</w:t>
      </w:r>
      <w:r w:rsidRPr="006153AD">
        <w:rPr>
          <w:color w:val="1B1B1B"/>
          <w:sz w:val="22"/>
          <w:szCs w:val="22"/>
        </w:rPr>
        <w:fldChar w:fldCharType="end"/>
      </w:r>
      <w:r w:rsidRPr="006153AD">
        <w:rPr>
          <w:color w:val="1B1B1B"/>
          <w:sz w:val="22"/>
          <w:szCs w:val="22"/>
        </w:rPr>
        <w:t xml:space="preserve"> juga melaporkan sebanyak 17,6% pasien kanker stadium I-III mengalami malnutrisi dan terdapat penurunan Indeks Massa Tubuh (IMT) &lt;18,5 kg/m² atau penurunan berat badan &gt;5% dalam 3 bulan yang disertai IMT &lt;20 kg/m². </w:t>
      </w:r>
      <w:r w:rsidRPr="006153AD">
        <w:rPr>
          <w:color w:val="000000"/>
          <w:sz w:val="22"/>
          <w:szCs w:val="22"/>
        </w:rPr>
        <w:t xml:space="preserve">Dengan demikian, pasien limfoma berisiko memiliki status gizi buruk sejak atau selama pengobatan </w:t>
      </w:r>
      <w:r w:rsidRPr="006153AD">
        <w:rPr>
          <w:color w:val="000000"/>
          <w:sz w:val="22"/>
          <w:szCs w:val="22"/>
        </w:rPr>
        <w:fldChar w:fldCharType="begin" w:fldLock="1"/>
      </w:r>
      <w:r w:rsidRPr="006153AD">
        <w:rPr>
          <w:color w:val="000000"/>
          <w:sz w:val="22"/>
          <w:szCs w:val="22"/>
        </w:rPr>
        <w:instrText xml:space="preserve">ADDIN CSL_CITATION {"citationItems":[{"id":"ITEM-1","itemData":{"DOI":"10.1002/hon.3002","author":[{"dropping-particle":"","family":"Mancuso","given":"Salvatrice","non-dropping-particle":"","parse-names":false,"suffix":""},{"dropping-particle":"","family":"Mattana","given":"Marta","non-dropping-particle":"","parse-names":false,"suffix":""},{"dropping-particle":"","family":"Santoro","given":"Marco","non-dropping-particle":"","parse-names":false,"suffix":""},{"dropping-particle":"","family":"Carlisi","given":"Melania","non-dropping-particle":"","parse-names":false,"suffix":""},{"dropping-particle":"","family":"Buscemi","given":"Silvio","non-dropping-particle":"","parse-names":false,"suffix":""},{"dropping-particle":"","family":"Siragusa","given":"Sergio","non-dropping-particle":"","parse-names":false,"suffix":""}],"id":"ITEM-1","issue":"November 2021","issued":{"date-parts":[["2022"]]},"page":"320-331","title":"non </w:instrText>
      </w:r>
      <w:r w:rsidRPr="006153AD">
        <w:rPr>
          <w:rFonts w:ascii="Cambria Math" w:hAnsi="Cambria Math" w:cs="Cambria Math"/>
          <w:color w:val="000000"/>
          <w:sz w:val="22"/>
          <w:szCs w:val="22"/>
        </w:rPr>
        <w:instrText>‐</w:instrText>
      </w:r>
      <w:r w:rsidRPr="006153AD">
        <w:rPr>
          <w:color w:val="000000"/>
          <w:sz w:val="22"/>
          <w:szCs w:val="22"/>
        </w:rPr>
        <w:instrText xml:space="preserve"> Hodgkin lymphoma","type":"article-journal"},"uris":["http://www.mendeley.com/documents/?uuid=c384ec62-e67f-4b72-af09-14f53302634d"]}],"mendeley":{"formattedCitation":"(Mancuso et al., 2022a)","plainTextFormattedCitation":"(Mancuso et al., 2022a)","previouslyFormattedCitation":"(Mancuso et al., 2022a)"},"properties":{"noteIndex":0},"schema":"https://github.com/citation-style-language/schema/raw/master/csl-citation.json"}</w:instrText>
      </w:r>
      <w:r w:rsidRPr="006153AD">
        <w:rPr>
          <w:color w:val="000000"/>
          <w:sz w:val="22"/>
          <w:szCs w:val="22"/>
        </w:rPr>
        <w:fldChar w:fldCharType="separate"/>
      </w:r>
      <w:r w:rsidRPr="006153AD">
        <w:rPr>
          <w:noProof/>
          <w:color w:val="000000"/>
          <w:sz w:val="22"/>
          <w:szCs w:val="22"/>
        </w:rPr>
        <w:t>(Mancuso et al., 2022a)</w:t>
      </w:r>
      <w:r w:rsidRPr="006153AD">
        <w:rPr>
          <w:color w:val="000000"/>
          <w:sz w:val="22"/>
          <w:szCs w:val="22"/>
        </w:rPr>
        <w:fldChar w:fldCharType="end"/>
      </w:r>
      <w:r w:rsidRPr="006153AD">
        <w:rPr>
          <w:color w:val="000000"/>
          <w:sz w:val="22"/>
          <w:szCs w:val="22"/>
        </w:rPr>
        <w:t xml:space="preserve">. </w:t>
      </w:r>
    </w:p>
    <w:p w14:paraId="722280EB" w14:textId="77777777" w:rsidR="00F7597E" w:rsidRPr="006153AD" w:rsidRDefault="00F7597E" w:rsidP="006153AD">
      <w:pPr>
        <w:pStyle w:val="NormalWeb"/>
        <w:spacing w:before="0" w:beforeAutospacing="0" w:after="0" w:afterAutospacing="0"/>
        <w:ind w:firstLine="426"/>
        <w:jc w:val="both"/>
        <w:rPr>
          <w:color w:val="000000"/>
          <w:sz w:val="22"/>
          <w:szCs w:val="22"/>
        </w:rPr>
      </w:pPr>
      <w:r w:rsidRPr="006153AD">
        <w:rPr>
          <w:color w:val="000000"/>
          <w:sz w:val="22"/>
          <w:szCs w:val="22"/>
        </w:rPr>
        <w:t xml:space="preserve">Kejadian malnutrisi pada pasien limfoma merupakan masalah klinis penting karena dapat memperburuk respons terapi dan prognosis </w:t>
      </w:r>
      <w:r w:rsidRPr="006153AD">
        <w:rPr>
          <w:color w:val="000000"/>
          <w:sz w:val="22"/>
          <w:szCs w:val="22"/>
        </w:rPr>
        <w:fldChar w:fldCharType="begin" w:fldLock="1"/>
      </w:r>
      <w:r w:rsidRPr="006153AD">
        <w:rPr>
          <w:color w:val="000000"/>
          <w:sz w:val="22"/>
          <w:szCs w:val="22"/>
        </w:rPr>
        <w:instrText xml:space="preserve">ADDIN CSL_CITATION {"citationItems":[{"id":"ITEM-1","itemData":{"DOI":"10.1002/hon.3002","author":[{"dropping-particle":"","family":"Mancuso","given":"Salvatrice","non-dropping-particle":"","parse-names":false,"suffix":""},{"dropping-particle":"","family":"Mattana","given":"Marta","non-dropping-particle":"","parse-names":false,"suffix":""},{"dropping-particle":"","family":"Santoro","given":"Marco","non-dropping-particle":"","parse-names":false,"suffix":""},{"dropping-particle":"","family":"Carlisi","given":"Melania","non-dropping-particle":"","parse-names":false,"suffix":""},{"dropping-particle":"","family":"Buscemi","given":"Silvio","non-dropping-particle":"","parse-names":false,"suffix":""},{"dropping-particle":"","family":"Siragusa","given":"Sergio","non-dropping-particle":"","parse-names":false,"suffix":""}],"id":"ITEM-1","issue":"February","issued":{"date-parts":[["2022"]]},"page":"320-331","title":"non </w:instrText>
      </w:r>
      <w:r w:rsidRPr="006153AD">
        <w:rPr>
          <w:rFonts w:ascii="Cambria Math" w:hAnsi="Cambria Math" w:cs="Cambria Math"/>
          <w:color w:val="000000"/>
          <w:sz w:val="22"/>
          <w:szCs w:val="22"/>
        </w:rPr>
        <w:instrText>‐</w:instrText>
      </w:r>
      <w:r w:rsidRPr="006153AD">
        <w:rPr>
          <w:color w:val="000000"/>
          <w:sz w:val="22"/>
          <w:szCs w:val="22"/>
        </w:rPr>
        <w:instrText xml:space="preserve"> Hodgkin lymphoma","type":"article-journal"},"uris":["http://www.mendeley.com/documents/?uuid=b2bba9a0-bd31-4e68-96b3-075f34c3ce53"]}],"mendeley":{"formattedCitation":"(Mancuso et al., 2022b)","plainTextFormattedCitation":"(Mancuso et al., 2022b)","previouslyFormattedCitation":"(Mancuso et al., 2022b)"},"properties":{"noteIndex":0},"schema":"https://github.com/citation-style-language/schema/raw/master/csl-citation.json"}</w:instrText>
      </w:r>
      <w:r w:rsidRPr="006153AD">
        <w:rPr>
          <w:color w:val="000000"/>
          <w:sz w:val="22"/>
          <w:szCs w:val="22"/>
        </w:rPr>
        <w:fldChar w:fldCharType="separate"/>
      </w:r>
      <w:r w:rsidRPr="006153AD">
        <w:rPr>
          <w:noProof/>
          <w:color w:val="000000"/>
          <w:sz w:val="22"/>
          <w:szCs w:val="22"/>
        </w:rPr>
        <w:t>(Mancuso et al., 2022b)</w:t>
      </w:r>
      <w:r w:rsidRPr="006153AD">
        <w:rPr>
          <w:color w:val="000000"/>
          <w:sz w:val="22"/>
          <w:szCs w:val="22"/>
        </w:rPr>
        <w:fldChar w:fldCharType="end"/>
      </w:r>
      <w:r w:rsidRPr="006153AD">
        <w:rPr>
          <w:color w:val="000000"/>
          <w:sz w:val="22"/>
          <w:szCs w:val="22"/>
        </w:rPr>
        <w:t>. Salah satu cara menilai status gizi ialah melalui SGA (</w:t>
      </w:r>
      <w:r w:rsidRPr="006153AD">
        <w:rPr>
          <w:i/>
          <w:iCs/>
          <w:color w:val="000000"/>
          <w:sz w:val="22"/>
          <w:szCs w:val="22"/>
        </w:rPr>
        <w:t>Subjective Global Assessment</w:t>
      </w:r>
      <w:r w:rsidRPr="006153AD">
        <w:rPr>
          <w:color w:val="000000"/>
          <w:sz w:val="22"/>
          <w:szCs w:val="22"/>
        </w:rPr>
        <w:t xml:space="preserve">) yang mempertimbangkan asupan makanan, kehilangan berat badan, dan perubahan fisik seperti kehilangan lemak subkutan </w:t>
      </w:r>
      <w:r w:rsidRPr="006153AD">
        <w:rPr>
          <w:color w:val="000000"/>
          <w:sz w:val="22"/>
          <w:szCs w:val="22"/>
        </w:rPr>
        <w:fldChar w:fldCharType="begin" w:fldLock="1"/>
      </w:r>
      <w:r w:rsidRPr="006153AD">
        <w:rPr>
          <w:color w:val="000000"/>
          <w:sz w:val="22"/>
          <w:szCs w:val="22"/>
        </w:rPr>
        <w:instrText>ADDIN CSL_CITATION {"citationItems":[{"id":"ITEM-1","itemData":{"author":[{"dropping-particle":"","family":"Report","given":"Case","non-dropping-particle":"","parse-names":false,"suffix":""},{"dropping-particle":"","family":"Care","given":"Nutrition","non-dropping-particle":"","parse-names":false,"suffix":""}],"id":"ITEM-1","issue":"4","issued":{"date-parts":[["2025"]]},"page":"267-279","title":"Laporan Kasus : Proses Asuhan Gizi Terstandar pada Pasien Miastenia Gravis dengan Disfagia dan Malnutrisi","type":"article-journal","volume":"4"},"uris":["http://www.mendeley.com/documents/?uuid=1191be3a-c6bf-4f8d-a1f0-b347f46633f1"]}],"mendeley":{"formattedCitation":"(Report &amp; Care, 2025)","plainTextFormattedCitation":"(Report &amp; Care, 2025)","previouslyFormattedCitation":"(Report &amp; Care, 2025)"},"properties":{"noteIndex":0},"schema":"https://github.com/citation-style-language/schema/raw/master/csl-citation.json"}</w:instrText>
      </w:r>
      <w:r w:rsidRPr="006153AD">
        <w:rPr>
          <w:color w:val="000000"/>
          <w:sz w:val="22"/>
          <w:szCs w:val="22"/>
        </w:rPr>
        <w:fldChar w:fldCharType="separate"/>
      </w:r>
      <w:r w:rsidRPr="006153AD">
        <w:rPr>
          <w:noProof/>
          <w:color w:val="000000"/>
          <w:sz w:val="22"/>
          <w:szCs w:val="22"/>
        </w:rPr>
        <w:t>(Report &amp; Care, 2025)</w:t>
      </w:r>
      <w:r w:rsidRPr="006153AD">
        <w:rPr>
          <w:color w:val="000000"/>
          <w:sz w:val="22"/>
          <w:szCs w:val="22"/>
        </w:rPr>
        <w:fldChar w:fldCharType="end"/>
      </w:r>
      <w:r w:rsidRPr="006153AD">
        <w:rPr>
          <w:color w:val="000000"/>
          <w:sz w:val="22"/>
          <w:szCs w:val="22"/>
        </w:rPr>
        <w:t xml:space="preserve">. Studi kasus pada pasien limfoma gastrointestinal tahun 2020 menunjukkan bahwa status gizi awal yang buruk ditandai dengan skor PG-SGA tinggi berkaitan dengan mortalitas lebih tinggi dalam satu tahun </w:t>
      </w:r>
      <w:r w:rsidRPr="006153AD">
        <w:rPr>
          <w:color w:val="000000"/>
          <w:sz w:val="22"/>
          <w:szCs w:val="22"/>
        </w:rPr>
        <w:fldChar w:fldCharType="begin" w:fldLock="1"/>
      </w:r>
      <w:r w:rsidRPr="006153AD">
        <w:rPr>
          <w:color w:val="000000"/>
          <w:sz w:val="22"/>
          <w:szCs w:val="22"/>
        </w:rPr>
        <w:instrText>ADDIN CSL_CITATION {"citationItems":[{"id":"ITEM-1","itemData":{"DOI":"10.15850/amj.v6n1.1521","author":[{"dropping-particle":"","family":"Ardinal","given":"Azizah Puspitasari","non-dropping-particle":"","parse-names":false,"suffix":""},{"dropping-particle":"","family":"Wiramihardja","given":"Siska","non-dropping-particle":"","parse-names":false,"suffix":""},{"dropping-particle":"","family":"Wijaya","given":"Indra","non-dropping-particle":"","parse-names":false,"suffix":""}],"container-title":"Althea Medical Journal","id":"ITEM-1","issue":"1","issued":{"date-parts":[["2019"]]},"page":"7-12","title":"Malnutrition in Non-Hodgkin Lymphoma Patients at Dr. Hasan Sadikin General Hospital Bandung","type":"article-journal","volume":"6"},"uris":["http://www.mendeley.com/documents/?uuid=9b1007ea-80de-4962-8e4f-5b6f0c691e51"]}],"mendeley":{"formattedCitation":"(Ardinal et al., 2019)","plainTextFormattedCitation":"(Ardinal et al., 2019)","previouslyFormattedCitation":"(Ardinal et al., 2019)"},"properties":{"noteIndex":0},"schema":"https://github.com/citation-style-language/schema/raw/master/csl-citation.json"}</w:instrText>
      </w:r>
      <w:r w:rsidRPr="006153AD">
        <w:rPr>
          <w:color w:val="000000"/>
          <w:sz w:val="22"/>
          <w:szCs w:val="22"/>
        </w:rPr>
        <w:fldChar w:fldCharType="separate"/>
      </w:r>
      <w:r w:rsidRPr="006153AD">
        <w:rPr>
          <w:noProof/>
          <w:color w:val="000000"/>
          <w:sz w:val="22"/>
          <w:szCs w:val="22"/>
        </w:rPr>
        <w:t>(Ardinal et al., 2019)</w:t>
      </w:r>
      <w:r w:rsidRPr="006153AD">
        <w:rPr>
          <w:color w:val="000000"/>
          <w:sz w:val="22"/>
          <w:szCs w:val="22"/>
        </w:rPr>
        <w:fldChar w:fldCharType="end"/>
      </w:r>
      <w:r w:rsidRPr="006153AD">
        <w:rPr>
          <w:color w:val="000000"/>
          <w:sz w:val="22"/>
          <w:szCs w:val="22"/>
        </w:rPr>
        <w:t xml:space="preserve">. </w:t>
      </w:r>
      <w:r w:rsidRPr="006153AD">
        <w:rPr>
          <w:rFonts w:eastAsiaTheme="minorHAnsi"/>
          <w:sz w:val="22"/>
          <w:szCs w:val="22"/>
          <w:lang w:eastAsia="en-US"/>
          <w14:ligatures w14:val="standardContextual"/>
        </w:rPr>
        <w:t xml:space="preserve">Selain itu, didapatkan laporan bahwa sejumlah 45% pasien kanker kolorektal yang menjalani kemoterapi mendapatkan </w:t>
      </w:r>
      <w:r w:rsidRPr="006153AD">
        <w:rPr>
          <w:color w:val="000000"/>
          <w:sz w:val="22"/>
          <w:szCs w:val="22"/>
        </w:rPr>
        <w:t xml:space="preserve">skor PG-SGA yang menunjukkan kebutuhan intervensi nutrisi intensif, di mana menandakan tingginya risiko </w:t>
      </w:r>
      <w:r w:rsidRPr="006153AD">
        <w:rPr>
          <w:color w:val="000000"/>
          <w:sz w:val="22"/>
          <w:szCs w:val="22"/>
        </w:rPr>
        <w:lastRenderedPageBreak/>
        <w:t xml:space="preserve">malnutrisi </w:t>
      </w:r>
      <w:r w:rsidRPr="006153AD">
        <w:rPr>
          <w:color w:val="000000"/>
          <w:sz w:val="22"/>
          <w:szCs w:val="22"/>
        </w:rPr>
        <w:fldChar w:fldCharType="begin" w:fldLock="1"/>
      </w:r>
      <w:r w:rsidRPr="006153AD">
        <w:rPr>
          <w:color w:val="000000"/>
          <w:sz w:val="22"/>
          <w:szCs w:val="22"/>
        </w:rPr>
        <w:instrText>ADDIN CSL_CITATION {"citationItems":[{"id":"ITEM-1","itemData":{"author":[{"dropping-particle":"","family":"Sánchez-diestro","given":"Luis Enrique","non-dropping-particle":"","parse-names":false,"suffix":""},{"dropping-particle":"","family":"Macias-montero","given":"Raquel","non-dropping-particle":"","parse-names":false,"suffix":""},{"dropping-particle":"","family":"Ramalho-galhanas","given":"Ana Isabel","non-dropping-particle":"","parse-names":false,"suffix":""},{"dropping-particle":"","family":"Aguiar-frias","given":"Ana Maria","non-dropping-particle":"","parse-names":false,"suffix":""},{"dropping-particle":"","family":"Paniagua-vivas","given":"María Sandra","non-dropping-particle":"","parse-names":false,"suffix":""},{"dropping-particle":"","family":"Guerrero-martín","given":"Jorge","non-dropping-particle":"","parse-names":false,"suffix":""}],"id":"ITEM-1","issued":{"date-parts":[["2025"]]},"page":"1-13","title":"Nutritional Status Assessment Using the Patient-Generated Subjective Global Assessment ( PG-SGA ) in Individuals with Colorectal Cancer Undergoing Chemotherapy Regimens","type":"article-journal"},"uris":["http://www.mendeley.com/documents/?uuid=ace444fe-166f-4aa0-b678-2b8f801835b5"]}],"mendeley":{"formattedCitation":"(Sánchez-diestro et al., 2025)","plainTextFormattedCitation":"(Sánchez-diestro et al., 2025)","previouslyFormattedCitation":"(Sánchez-diestro et al., 2025)"},"properties":{"noteIndex":0},"schema":"https://github.com/citation-style-language/schema/raw/master/csl-citation.json"}</w:instrText>
      </w:r>
      <w:r w:rsidRPr="006153AD">
        <w:rPr>
          <w:color w:val="000000"/>
          <w:sz w:val="22"/>
          <w:szCs w:val="22"/>
        </w:rPr>
        <w:fldChar w:fldCharType="separate"/>
      </w:r>
      <w:r w:rsidRPr="006153AD">
        <w:rPr>
          <w:noProof/>
          <w:color w:val="000000"/>
          <w:sz w:val="22"/>
          <w:szCs w:val="22"/>
        </w:rPr>
        <w:t>(Sánchez-diestro et al., 2025)</w:t>
      </w:r>
      <w:r w:rsidRPr="006153AD">
        <w:rPr>
          <w:color w:val="000000"/>
          <w:sz w:val="22"/>
          <w:szCs w:val="22"/>
        </w:rPr>
        <w:fldChar w:fldCharType="end"/>
      </w:r>
      <w:r w:rsidRPr="006153AD">
        <w:rPr>
          <w:rFonts w:eastAsiaTheme="minorHAnsi"/>
          <w:sz w:val="22"/>
          <w:szCs w:val="22"/>
          <w:lang w:eastAsia="en-US"/>
          <w14:ligatures w14:val="standardContextual"/>
        </w:rPr>
        <w:t xml:space="preserve">. Laporan </w:t>
      </w:r>
      <w:r w:rsidRPr="006153AD">
        <w:rPr>
          <w:color w:val="000000"/>
          <w:sz w:val="22"/>
          <w:szCs w:val="22"/>
        </w:rPr>
        <w:t>klinis pada limfoma kutan (</w:t>
      </w:r>
      <w:r w:rsidRPr="006153AD">
        <w:rPr>
          <w:i/>
          <w:iCs/>
          <w:color w:val="000000"/>
          <w:sz w:val="22"/>
          <w:szCs w:val="22"/>
        </w:rPr>
        <w:t>cutaneous lymphoma</w:t>
      </w:r>
      <w:r w:rsidRPr="006153AD">
        <w:rPr>
          <w:color w:val="000000"/>
          <w:sz w:val="22"/>
          <w:szCs w:val="22"/>
        </w:rPr>
        <w:t xml:space="preserve">) di Indonesia juga menguatkan bahwa intervensi terapi gizi spesifik (misalnya suplementasi, konseling) diperlukan agar pasien menjaga asupan nutrisi selama perjalanan penyakit </w:t>
      </w:r>
      <w:r w:rsidRPr="006153AD">
        <w:rPr>
          <w:color w:val="000000"/>
          <w:sz w:val="22"/>
          <w:szCs w:val="22"/>
        </w:rPr>
        <w:fldChar w:fldCharType="begin" w:fldLock="1"/>
      </w:r>
      <w:r w:rsidRPr="006153AD">
        <w:rPr>
          <w:color w:val="000000"/>
          <w:sz w:val="22"/>
          <w:szCs w:val="22"/>
        </w:rPr>
        <w:instrText>ADDIN CSL_CITATION {"citationItems":[{"id":"ITEM-1","itemData":{"ISSN":"2686-6668","abstract":"Nutrition is a part of cancer management during therapy, recovery, remission, and recurrence prevention. Malnutrition and cachexia often occur in cancer patients and influence morbidity, mortality, and quality of life, especially in the advanced stage of malignancy. We reported a case of cutaneous lymphoma with anemia and hypoalbuminemia in the terminal condition. This case report focuses on nutritional therapy and palliative care on nutrition. We reported a case of a 40-year-old-man with Cutaneous Lymphoma (CL) and moderate protein-energy malnutrition that was developed to severe protein-energy malnutrition due to difficulty in dietary access. He had an eating problem because of multiple tumors and ulcers on his mouth. We provided access for parenteral nutrition from Central Venous Catheter (CVC) and orogastric tube (OGT) for enteral feeding. Even though the dietary target was never accomplished, there was a slight recovery on hypoalbuminemia and renal function during hospitalization. This case showed a considerable challenge in nutritional therapy due to limited dietary access. Since death was inevitable, we have tried different dietary access to provide adequate intake.","author":[{"dropping-particle":"","family":"Tyas","given":"Fitri","non-dropping-particle":"","parse-names":false,"suffix":""},{"dropping-particle":"","family":"As'ad","given":"Suryani","non-dropping-particle":"","parse-names":false,"suffix":""},{"dropping-particle":"","family":"Safitri","given":"Asrini","non-dropping-particle":"","parse-names":false,"suffix":""},{"dropping-particle":"","family":"Bamahry","given":"Aryanti","non-dropping-particle":"","parse-names":false,"suffix":""},{"dropping-particle":"","family":"Access","given":"Open","non-dropping-particle":"","parse-names":false,"suffix":""}],"container-title":"Green Medical Journal","id":"ITEM-1","issue":"2","issued":{"date-parts":[["2020"]]},"page":"2686-6668","title":"Publisher: Faculty of Medicine Universitas Muslim Indonesia 66","type":"article-journal","volume":"2"},"uris":["http://www.mendeley.com/documents/?uuid=43e28199-332e-483f-ab64-a85ba7acb7d3"]}],"mendeley":{"formattedCitation":"(Tyas et al., 2020)","plainTextFormattedCitation":"(Tyas et al., 2020)","previouslyFormattedCitation":"(Tyas et al., 2020)"},"properties":{"noteIndex":0},"schema":"https://github.com/citation-style-language/schema/raw/master/csl-citation.json"}</w:instrText>
      </w:r>
      <w:r w:rsidRPr="006153AD">
        <w:rPr>
          <w:color w:val="000000"/>
          <w:sz w:val="22"/>
          <w:szCs w:val="22"/>
        </w:rPr>
        <w:fldChar w:fldCharType="separate"/>
      </w:r>
      <w:r w:rsidRPr="006153AD">
        <w:rPr>
          <w:noProof/>
          <w:color w:val="000000"/>
          <w:sz w:val="22"/>
          <w:szCs w:val="22"/>
        </w:rPr>
        <w:t>(Tyas et al., 2020)</w:t>
      </w:r>
      <w:r w:rsidRPr="006153AD">
        <w:rPr>
          <w:color w:val="000000"/>
          <w:sz w:val="22"/>
          <w:szCs w:val="22"/>
        </w:rPr>
        <w:fldChar w:fldCharType="end"/>
      </w:r>
      <w:r w:rsidRPr="006153AD">
        <w:rPr>
          <w:color w:val="000000"/>
          <w:sz w:val="22"/>
          <w:szCs w:val="22"/>
        </w:rPr>
        <w:t>.</w:t>
      </w:r>
      <w:r w:rsidRPr="006153AD">
        <w:rPr>
          <w:b/>
          <w:bCs/>
          <w:color w:val="FF0000"/>
          <w:sz w:val="22"/>
          <w:szCs w:val="22"/>
        </w:rPr>
        <w:t> </w:t>
      </w:r>
    </w:p>
    <w:p w14:paraId="7DD067AE" w14:textId="77777777" w:rsidR="00F7597E" w:rsidRPr="006153AD" w:rsidRDefault="00F7597E" w:rsidP="006153AD">
      <w:pPr>
        <w:pStyle w:val="NormalWeb"/>
        <w:spacing w:before="0" w:beforeAutospacing="0" w:after="0" w:afterAutospacing="0"/>
        <w:ind w:firstLine="426"/>
        <w:jc w:val="both"/>
        <w:rPr>
          <w:color w:val="000000"/>
          <w:sz w:val="22"/>
          <w:szCs w:val="22"/>
        </w:rPr>
      </w:pPr>
      <w:r w:rsidRPr="006153AD">
        <w:rPr>
          <w:color w:val="000000"/>
          <w:sz w:val="22"/>
          <w:szCs w:val="22"/>
        </w:rPr>
        <w:t xml:space="preserve">American Society for Parental and Eternal Nutrition (ASPEN) merekomendasikan penggunaan SGA sebagai alat untuk menilai status gizi </w:t>
      </w:r>
      <w:r w:rsidRPr="006153AD">
        <w:rPr>
          <w:color w:val="000000"/>
          <w:sz w:val="22"/>
          <w:szCs w:val="22"/>
        </w:rPr>
        <w:fldChar w:fldCharType="begin" w:fldLock="1"/>
      </w:r>
      <w:r w:rsidRPr="006153AD">
        <w:rPr>
          <w:color w:val="000000"/>
          <w:sz w:val="22"/>
          <w:szCs w:val="22"/>
        </w:rPr>
        <w:instrText>ADDIN CSL_CITATION {"citationItems":[{"id":"ITEM-1","itemData":{"author":[{"dropping-particle":"","family":"Lestari","given":"Pina","non-dropping-particle":"","parse-names":false,"suffix":""}],"id":"ITEM-1","issue":"2","issued":{"date-parts":[["2023"]]},"page":"33-38","title":"CRITICAL MEDICAL AND SURGICAL Assessment of Nutritional Status Using SGA ( Subjective Global Assessment ) and MIS ( Malnutrition Inflammation Score ) Tools in Hemodialysis Patients","type":"article-journal","volume":"12"},"uris":["http://www.mendeley.com/documents/?uuid=e73c8426-500e-4de4-b168-8906e9d9cbf8"]}],"mendeley":{"formattedCitation":"(Lestari, 2023)","plainTextFormattedCitation":"(Lestari, 2023)","previouslyFormattedCitation":"(Lestari, 2023)"},"properties":{"noteIndex":0},"schema":"https://github.com/citation-style-language/schema/raw/master/csl-citation.json"}</w:instrText>
      </w:r>
      <w:r w:rsidRPr="006153AD">
        <w:rPr>
          <w:color w:val="000000"/>
          <w:sz w:val="22"/>
          <w:szCs w:val="22"/>
        </w:rPr>
        <w:fldChar w:fldCharType="separate"/>
      </w:r>
      <w:r w:rsidRPr="006153AD">
        <w:rPr>
          <w:noProof/>
          <w:color w:val="000000"/>
          <w:sz w:val="22"/>
          <w:szCs w:val="22"/>
        </w:rPr>
        <w:t>(Lestari, 2023)</w:t>
      </w:r>
      <w:r w:rsidRPr="006153AD">
        <w:rPr>
          <w:color w:val="000000"/>
          <w:sz w:val="22"/>
          <w:szCs w:val="22"/>
        </w:rPr>
        <w:fldChar w:fldCharType="end"/>
      </w:r>
      <w:r w:rsidRPr="006153AD">
        <w:rPr>
          <w:color w:val="000000"/>
          <w:sz w:val="22"/>
          <w:szCs w:val="22"/>
        </w:rPr>
        <w:t xml:space="preserve">. </w:t>
      </w:r>
      <w:proofErr w:type="gramStart"/>
      <w:r w:rsidRPr="006153AD">
        <w:rPr>
          <w:color w:val="000000"/>
          <w:sz w:val="22"/>
          <w:szCs w:val="22"/>
        </w:rPr>
        <w:t>SGA dianggap sebagai standar emas karena selain penampilan fisik, juga mempertimbangkan riwayat pasien.</w:t>
      </w:r>
      <w:proofErr w:type="gramEnd"/>
      <w:r w:rsidRPr="006153AD">
        <w:rPr>
          <w:rFonts w:eastAsiaTheme="minorHAnsi"/>
          <w:sz w:val="22"/>
          <w:szCs w:val="22"/>
          <w:lang w:eastAsia="en-US"/>
          <w14:ligatures w14:val="standardContextual"/>
        </w:rPr>
        <w:t xml:space="preserve"> Pengukuran SGA memiliki keunggulan dalam kesederhanaan dan kemudahan penggunaan dibandingkan metode </w:t>
      </w:r>
      <w:proofErr w:type="gramStart"/>
      <w:r w:rsidRPr="006153AD">
        <w:rPr>
          <w:rFonts w:eastAsiaTheme="minorHAnsi"/>
          <w:sz w:val="22"/>
          <w:szCs w:val="22"/>
          <w:lang w:eastAsia="en-US"/>
          <w14:ligatures w14:val="standardContextual"/>
        </w:rPr>
        <w:t>lain</w:t>
      </w:r>
      <w:proofErr w:type="gramEnd"/>
      <w:r w:rsidRPr="006153AD">
        <w:rPr>
          <w:rFonts w:eastAsiaTheme="minorHAnsi"/>
          <w:sz w:val="22"/>
          <w:szCs w:val="22"/>
          <w:lang w:eastAsia="en-US"/>
          <w14:ligatures w14:val="standardContextual"/>
        </w:rPr>
        <w:t xml:space="preserve">, karena dapat diaplikasikan tanpa pemeriksaan laboratorium dan mempertimbangkan riwayat pasien serta pemeriksaan fisik secara menyeluruh. Oleh karena itu, SGA direkomendasikan sebagai alat penilaian status gizi yang efektif dan aplikatif dalam praktik klinis </w:t>
      </w:r>
      <w:r w:rsidRPr="006153AD">
        <w:rPr>
          <w:rFonts w:eastAsiaTheme="minorHAnsi"/>
          <w:sz w:val="22"/>
          <w:szCs w:val="22"/>
          <w:lang w:eastAsia="en-US"/>
          <w14:ligatures w14:val="standardContextual"/>
        </w:rPr>
        <w:fldChar w:fldCharType="begin" w:fldLock="1"/>
      </w:r>
      <w:r w:rsidRPr="006153AD">
        <w:rPr>
          <w:rFonts w:eastAsiaTheme="minorHAnsi"/>
          <w:sz w:val="22"/>
          <w:szCs w:val="22"/>
          <w:lang w:eastAsia="en-US"/>
          <w14:ligatures w14:val="standardContextual"/>
        </w:rPr>
        <w:instrText>ADDIN CSL_CITATION {"citationItems":[{"id":"ITEM-1","itemData":{"author":[{"dropping-particle":"","family":"Lestari","given":"Pina","non-dropping-particle":"","parse-names":false,"suffix":""}],"id":"ITEM-1","issue":"2","issued":{"date-parts":[["2023"]]},"page":"33-38","title":"CRITICAL MEDICAL AND SURGICAL Assessment of Nutritional Status Using SGA ( Subjective Global Assessment ) and MIS ( Malnutrition Inflammation Score ) Tools in Hemodialysis Patients","type":"article-journal","volume":"12"},"uris":["http://www.mendeley.com/documents/?uuid=e73c8426-500e-4de4-b168-8906e9d9cbf8"]}],"mendeley":{"formattedCitation":"(Lestari, 2023)","plainTextFormattedCitation":"(Lestari, 2023)","previouslyFormattedCitation":"(Lestari, 2023)"},"properties":{"noteIndex":0},"schema":"https://github.com/citation-style-language/schema/raw/master/csl-citation.json"}</w:instrText>
      </w:r>
      <w:r w:rsidRPr="006153AD">
        <w:rPr>
          <w:rFonts w:eastAsiaTheme="minorHAnsi"/>
          <w:sz w:val="22"/>
          <w:szCs w:val="22"/>
          <w:lang w:eastAsia="en-US"/>
          <w14:ligatures w14:val="standardContextual"/>
        </w:rPr>
        <w:fldChar w:fldCharType="separate"/>
      </w:r>
      <w:r w:rsidRPr="006153AD">
        <w:rPr>
          <w:rFonts w:eastAsiaTheme="minorHAnsi"/>
          <w:noProof/>
          <w:sz w:val="22"/>
          <w:szCs w:val="22"/>
          <w:lang w:eastAsia="en-US"/>
          <w14:ligatures w14:val="standardContextual"/>
        </w:rPr>
        <w:t>(Lestari, 2023)</w:t>
      </w:r>
      <w:r w:rsidRPr="006153AD">
        <w:rPr>
          <w:rFonts w:eastAsiaTheme="minorHAnsi"/>
          <w:sz w:val="22"/>
          <w:szCs w:val="22"/>
          <w:lang w:eastAsia="en-US"/>
          <w14:ligatures w14:val="standardContextual"/>
        </w:rPr>
        <w:fldChar w:fldCharType="end"/>
      </w:r>
      <w:r w:rsidRPr="006153AD">
        <w:rPr>
          <w:rFonts w:eastAsiaTheme="minorHAnsi"/>
          <w:sz w:val="22"/>
          <w:szCs w:val="22"/>
          <w:lang w:eastAsia="en-US"/>
          <w14:ligatures w14:val="standardContextual"/>
        </w:rPr>
        <w:t xml:space="preserve">. </w:t>
      </w:r>
      <w:r w:rsidRPr="006153AD">
        <w:rPr>
          <w:b/>
          <w:bCs/>
          <w:color w:val="000000"/>
          <w:sz w:val="22"/>
          <w:szCs w:val="22"/>
        </w:rPr>
        <w:t xml:space="preserve"> </w:t>
      </w:r>
      <w:proofErr w:type="gramStart"/>
      <w:r w:rsidRPr="006153AD">
        <w:rPr>
          <w:color w:val="000000"/>
          <w:sz w:val="22"/>
          <w:szCs w:val="22"/>
        </w:rPr>
        <w:t>Dari latar belakang tersebut, melakukan kajian SGA untuk pengukuran nutrisi pasien limfoma penting dilakukan.</w:t>
      </w:r>
      <w:proofErr w:type="gramEnd"/>
      <w:r w:rsidRPr="006153AD">
        <w:rPr>
          <w:color w:val="000000"/>
          <w:sz w:val="22"/>
          <w:szCs w:val="22"/>
        </w:rPr>
        <w:t xml:space="preserve"> </w:t>
      </w:r>
    </w:p>
    <w:p w14:paraId="35CB6737" w14:textId="365F3711" w:rsidR="00FB2495" w:rsidRPr="006153AD" w:rsidRDefault="00F7597E" w:rsidP="006153AD">
      <w:pPr>
        <w:pStyle w:val="NormalWeb"/>
        <w:spacing w:before="0" w:beforeAutospacing="0" w:after="0" w:afterAutospacing="0"/>
        <w:ind w:firstLine="426"/>
        <w:jc w:val="both"/>
        <w:rPr>
          <w:color w:val="000000"/>
          <w:sz w:val="22"/>
          <w:szCs w:val="22"/>
        </w:rPr>
      </w:pPr>
      <w:r w:rsidRPr="006153AD">
        <w:rPr>
          <w:color w:val="000000"/>
          <w:sz w:val="22"/>
          <w:szCs w:val="22"/>
        </w:rPr>
        <w:t>Berdasarkan studi pendahuluan dan telaah pada penelitian sebelumnya, didapatkan bahwa pasien limfoma di RSUD Sayang Cianjur didapati mulai tahun 2021-2025 mencapai 100 orang, sehingga akan mendukung penelitian ini.</w:t>
      </w:r>
    </w:p>
    <w:p w14:paraId="67B863F2" w14:textId="77777777" w:rsidR="009F71D0" w:rsidRPr="006153AD" w:rsidRDefault="009F71D0" w:rsidP="006153AD">
      <w:pPr>
        <w:jc w:val="both"/>
        <w:rPr>
          <w:b/>
          <w:bCs/>
          <w:sz w:val="22"/>
          <w:szCs w:val="22"/>
          <w:lang w:val="id-ID"/>
        </w:rPr>
      </w:pPr>
    </w:p>
    <w:p w14:paraId="5454C015" w14:textId="2112C265" w:rsidR="00FB2495" w:rsidRPr="006153AD" w:rsidRDefault="0055649A" w:rsidP="006153AD">
      <w:pPr>
        <w:jc w:val="both"/>
        <w:rPr>
          <w:b/>
          <w:bCs/>
          <w:sz w:val="22"/>
          <w:szCs w:val="22"/>
        </w:rPr>
      </w:pPr>
      <w:r w:rsidRPr="006153AD">
        <w:rPr>
          <w:b/>
          <w:bCs/>
          <w:sz w:val="22"/>
          <w:szCs w:val="22"/>
        </w:rPr>
        <w:t>METODE</w:t>
      </w:r>
    </w:p>
    <w:p w14:paraId="5259B67A" w14:textId="77777777" w:rsidR="00FB2495" w:rsidRPr="006153AD" w:rsidRDefault="0055649A" w:rsidP="006153AD">
      <w:pPr>
        <w:jc w:val="both"/>
        <w:rPr>
          <w:b/>
          <w:bCs/>
          <w:sz w:val="22"/>
          <w:szCs w:val="22"/>
        </w:rPr>
      </w:pPr>
      <w:r w:rsidRPr="006153AD">
        <w:rPr>
          <w:b/>
          <w:bCs/>
          <w:sz w:val="22"/>
          <w:szCs w:val="22"/>
        </w:rPr>
        <w:t xml:space="preserve"> </w:t>
      </w:r>
    </w:p>
    <w:p w14:paraId="386D70C5" w14:textId="77777777" w:rsidR="009F71D0" w:rsidRPr="006153AD" w:rsidRDefault="009F71D0" w:rsidP="006153AD">
      <w:pPr>
        <w:ind w:firstLine="720"/>
        <w:jc w:val="both"/>
        <w:rPr>
          <w:sz w:val="22"/>
          <w:szCs w:val="22"/>
        </w:rPr>
      </w:pPr>
      <w:r w:rsidRPr="006153AD">
        <w:rPr>
          <w:sz w:val="22"/>
          <w:szCs w:val="22"/>
        </w:rPr>
        <w:t>Penelitian ini menerapkan desain penelitian Deskriptif observasional dengan metode potong lintang (</w:t>
      </w:r>
      <w:r w:rsidRPr="006153AD">
        <w:rPr>
          <w:i/>
          <w:iCs/>
          <w:sz w:val="22"/>
          <w:szCs w:val="22"/>
        </w:rPr>
        <w:t>cross-sectional</w:t>
      </w:r>
      <w:r w:rsidRPr="006153AD">
        <w:rPr>
          <w:sz w:val="22"/>
          <w:szCs w:val="22"/>
        </w:rPr>
        <w:t xml:space="preserve">) </w:t>
      </w:r>
      <w:r w:rsidRPr="006153AD">
        <w:rPr>
          <w:sz w:val="22"/>
          <w:szCs w:val="22"/>
        </w:rPr>
        <w:fldChar w:fldCharType="begin" w:fldLock="1"/>
      </w:r>
      <w:r w:rsidRPr="006153AD">
        <w:rPr>
          <w:sz w:val="22"/>
          <w:szCs w:val="22"/>
        </w:rPr>
        <w:instrText>ADDIN CSL_CITATION {"citationItems":[{"id":"ITEM-1","itemData":{"DOI":"10.47191/ijmra/v6-i8-52","author":[{"dropping-particle":"","family":"Ghanad","given":"Anahita","non-dropping-particle":"","parse-names":false,"suffix":""}],"id":"ITEM-1","issue":"08","issued":{"date-parts":[["2023"]]},"page":"3794-3803","title":"An Overview of Quantitative Research Methods","type":"article-journal","volume":"06"},"uris":["http://www.mendeley.com/documents/?uuid=ed2ed4f5-3d4f-46db-9abb-eeb7f54a954c"]}],"mendeley":{"formattedCitation":"(Ghanad, 2023)","plainTextFormattedCitation":"(Ghanad, 2023)","previouslyFormattedCitation":"(Ghanad, 2023)"},"properties":{"noteIndex":0},"schema":"https://github.com/citation-style-language/schema/raw/master/csl-citation.json"}</w:instrText>
      </w:r>
      <w:r w:rsidRPr="006153AD">
        <w:rPr>
          <w:sz w:val="22"/>
          <w:szCs w:val="22"/>
        </w:rPr>
        <w:fldChar w:fldCharType="separate"/>
      </w:r>
      <w:r w:rsidRPr="006153AD">
        <w:rPr>
          <w:noProof/>
          <w:sz w:val="22"/>
          <w:szCs w:val="22"/>
        </w:rPr>
        <w:t>(Ghanad, 2023)</w:t>
      </w:r>
      <w:r w:rsidRPr="006153AD">
        <w:rPr>
          <w:sz w:val="22"/>
          <w:szCs w:val="22"/>
        </w:rPr>
        <w:fldChar w:fldCharType="end"/>
      </w:r>
      <w:r w:rsidRPr="006153AD">
        <w:rPr>
          <w:sz w:val="22"/>
          <w:szCs w:val="22"/>
        </w:rPr>
        <w:t xml:space="preserve">. Penelitian deskriptif observasional pada pengumpulan untuk menjelaskan fenomena yang sedang diteliti, seperti karakteristik peserta atau prevalensi dari variabel tertentu </w:t>
      </w:r>
      <w:r w:rsidRPr="006153AD">
        <w:rPr>
          <w:sz w:val="22"/>
          <w:szCs w:val="22"/>
        </w:rPr>
        <w:fldChar w:fldCharType="begin" w:fldLock="1"/>
      </w:r>
      <w:r w:rsidRPr="006153AD">
        <w:rPr>
          <w:sz w:val="22"/>
          <w:szCs w:val="22"/>
        </w:rPr>
        <w:instrText>ADDIN CSL_CITATION {"citationItems":[{"id":"ITEM-1","itemData":{"DOI":"10.47191/ijmra/v6-i8-52","author":[{"dropping-particle":"","family":"Ghanad","given":"Anahita","non-dropping-particle":"","parse-names":false,"suffix":""}],"id":"ITEM-1","issue":"08","issued":{"date-parts":[["2023"]]},"page":"3794-3803","title":"An Overview of Quantitative Research Methods","type":"article-journal","volume":"06"},"uris":["http://www.mendeley.com/documents/?uuid=ed2ed4f5-3d4f-46db-9abb-eeb7f54a954c"]}],"mendeley":{"formattedCitation":"(Ghanad, 2023)","plainTextFormattedCitation":"(Ghanad, 2023)","previouslyFormattedCitation":"(Ghanad, 2023)"},"properties":{"noteIndex":0},"schema":"https://github.com/citation-style-language/schema/raw/master/csl-citation.json"}</w:instrText>
      </w:r>
      <w:r w:rsidRPr="006153AD">
        <w:rPr>
          <w:sz w:val="22"/>
          <w:szCs w:val="22"/>
        </w:rPr>
        <w:fldChar w:fldCharType="separate"/>
      </w:r>
      <w:r w:rsidRPr="006153AD">
        <w:rPr>
          <w:noProof/>
          <w:sz w:val="22"/>
          <w:szCs w:val="22"/>
        </w:rPr>
        <w:t>(Ghanad, 2023)</w:t>
      </w:r>
      <w:r w:rsidRPr="006153AD">
        <w:rPr>
          <w:sz w:val="22"/>
          <w:szCs w:val="22"/>
        </w:rPr>
        <w:fldChar w:fldCharType="end"/>
      </w:r>
      <w:r w:rsidRPr="006153AD">
        <w:rPr>
          <w:sz w:val="22"/>
          <w:szCs w:val="22"/>
        </w:rPr>
        <w:t xml:space="preserve">. </w:t>
      </w:r>
      <w:r w:rsidRPr="006153AD">
        <w:rPr>
          <w:i/>
          <w:iCs/>
          <w:sz w:val="22"/>
          <w:szCs w:val="22"/>
        </w:rPr>
        <w:t>Cross-sectional</w:t>
      </w:r>
      <w:r w:rsidRPr="006153AD">
        <w:rPr>
          <w:sz w:val="22"/>
          <w:szCs w:val="22"/>
        </w:rPr>
        <w:t xml:space="preserve"> secara khusus bertujuan untuk menerangkan karakteristik atau keadaan suatu populasi pada waktu tertentu ("potret"), sehingga sangat tepat digunakan dalam penelitian kuantitatif deskriptif </w:t>
      </w:r>
      <w:r w:rsidRPr="006153AD">
        <w:rPr>
          <w:sz w:val="22"/>
          <w:szCs w:val="22"/>
        </w:rPr>
        <w:fldChar w:fldCharType="begin" w:fldLock="1"/>
      </w:r>
      <w:r w:rsidRPr="006153AD">
        <w:rPr>
          <w:sz w:val="22"/>
          <w:szCs w:val="22"/>
        </w:rPr>
        <w:instrText>ADDIN CSL_CITATION {"citationItems":[{"id":"ITEM-1","itemData":{"author":[{"dropping-particle":"","family":"Aguilar-vel","given":"Alonso","non-dropping-particle":"","parse-names":false,"suffix":""},{"dropping-particle":"","family":"Adonai","given":"Itzae","non-dropping-particle":"","parse-names":false,"suffix":""}],"id":"ITEM-1","issued":{"date-parts":[["2024"]]},"page":"1-14","title":"Methodological and Statistical Considerations for Cross-Sectional , Case – Control , and Cohort Studies","type":"article-journal"},"uris":["http://www.mendeley.com/documents/?uuid=d2df2324-e97f-4468-ac54-2667850f7b7c"]}],"mendeley":{"formattedCitation":"(Aguilar-vel &amp; Adonai, 2024)","plainTextFormattedCitation":"(Aguilar-vel &amp; Adonai, 2024)","previouslyFormattedCitation":"(Aguilar-vel &amp; Adonai, 2024)"},"properties":{"noteIndex":0},"schema":"https://github.com/citation-style-language/schema/raw/master/csl-citation.json"}</w:instrText>
      </w:r>
      <w:r w:rsidRPr="006153AD">
        <w:rPr>
          <w:sz w:val="22"/>
          <w:szCs w:val="22"/>
        </w:rPr>
        <w:fldChar w:fldCharType="separate"/>
      </w:r>
      <w:r w:rsidRPr="006153AD">
        <w:rPr>
          <w:noProof/>
          <w:sz w:val="22"/>
          <w:szCs w:val="22"/>
        </w:rPr>
        <w:t>(Aguilar-vel &amp; Adonai, 2024)</w:t>
      </w:r>
      <w:r w:rsidRPr="006153AD">
        <w:rPr>
          <w:sz w:val="22"/>
          <w:szCs w:val="22"/>
        </w:rPr>
        <w:fldChar w:fldCharType="end"/>
      </w:r>
      <w:r w:rsidRPr="006153AD">
        <w:rPr>
          <w:sz w:val="22"/>
          <w:szCs w:val="22"/>
        </w:rPr>
        <w:t>.</w:t>
      </w:r>
    </w:p>
    <w:p w14:paraId="091AB3B2" w14:textId="77777777" w:rsidR="006153AD" w:rsidRDefault="009F71D0" w:rsidP="006153AD">
      <w:pPr>
        <w:ind w:firstLine="720"/>
        <w:jc w:val="both"/>
        <w:rPr>
          <w:sz w:val="22"/>
          <w:szCs w:val="22"/>
          <w:lang w:val="id-ID"/>
        </w:rPr>
      </w:pPr>
      <w:proofErr w:type="gramStart"/>
      <w:r w:rsidRPr="006153AD">
        <w:rPr>
          <w:sz w:val="22"/>
          <w:szCs w:val="22"/>
        </w:rPr>
        <w:t>Populasi dalam penelitian ini adalah seluruh pasien yang di diagnosa limfoma yang menjalani perawatan atau pengobatan di RSUD Sayang Cianjur.</w:t>
      </w:r>
      <w:proofErr w:type="gramEnd"/>
      <w:r w:rsidRPr="006153AD">
        <w:rPr>
          <w:sz w:val="22"/>
          <w:szCs w:val="22"/>
        </w:rPr>
        <w:t xml:space="preserve"> Subjek penelitian dipilih menggunakan teknik purposive sampling, yaitu teknik pengambilan non- probabilitas karakteristik tertentu yang relevan </w:t>
      </w:r>
      <w:r w:rsidRPr="006153AD">
        <w:rPr>
          <w:sz w:val="22"/>
          <w:szCs w:val="22"/>
        </w:rPr>
        <w:lastRenderedPageBreak/>
        <w:t xml:space="preserve">dengan tujuan sehingga sampel yang diperoleh dapat memberikan gambaran status gizi berdasarkan nilai </w:t>
      </w:r>
      <w:r w:rsidRPr="006153AD">
        <w:rPr>
          <w:i/>
          <w:iCs/>
          <w:sz w:val="22"/>
          <w:szCs w:val="22"/>
        </w:rPr>
        <w:t>Subjective Global Assessment</w:t>
      </w:r>
      <w:r w:rsidRPr="006153AD">
        <w:rPr>
          <w:sz w:val="22"/>
          <w:szCs w:val="22"/>
        </w:rPr>
        <w:t xml:space="preserve"> (SGA) pada pasien limfoma </w:t>
      </w:r>
      <w:r w:rsidRPr="006153AD">
        <w:rPr>
          <w:sz w:val="22"/>
          <w:szCs w:val="22"/>
        </w:rPr>
        <w:fldChar w:fldCharType="begin" w:fldLock="1"/>
      </w:r>
      <w:r w:rsidRPr="006153AD">
        <w:rPr>
          <w:sz w:val="22"/>
          <w:szCs w:val="22"/>
        </w:rPr>
        <w:instrText>ADDIN CSL_CITATION {"citationItems":[{"id":"ITEM-1","itemData":{"DOI":"10.59818/jpm.v5i2.1152","author":[{"dropping-particle":"","family":"Trianasari","given":"Nurvita","non-dropping-particle":"","parse-names":false,"suffix":""},{"dropping-particle":"","family":"Sari","given":"Puspita Kencana","non-dropping-particle":"","parse-names":false,"suffix":""},{"dropping-particle":"","family":"Prasetio","given":"Adhi","non-dropping-particle":"","parse-names":false,"suffix":""}],"id":"ITEM-1","issue":"1","issued":{"date-parts":[["2025"]]},"title":"Peningkatan Kualitas Penelitian di Bidang Kesehatan Melalui Pelatihan Penentuan Teknik Sampling dan Besar Sampel di STFI Bandung","type":"article-journal","volume":"5"},"uris":["http://www.mendeley.com/documents/?uuid=be44c2e5-12ca-4ce1-94f1-ff747433c7ba"]}],"mendeley":{"formattedCitation":"(Trianasari et al., 2025)","plainTextFormattedCitation":"(Trianasari et al., 2025)","previouslyFormattedCitation":"(Trianasari et al., 2025)"},"properties":{"noteIndex":0},"schema":"https://github.com/citation-style-language/schema/raw/master/csl-citation.json"}</w:instrText>
      </w:r>
      <w:r w:rsidRPr="006153AD">
        <w:rPr>
          <w:sz w:val="22"/>
          <w:szCs w:val="22"/>
        </w:rPr>
        <w:fldChar w:fldCharType="separate"/>
      </w:r>
      <w:r w:rsidRPr="006153AD">
        <w:rPr>
          <w:noProof/>
          <w:sz w:val="22"/>
          <w:szCs w:val="22"/>
        </w:rPr>
        <w:t>(Trianasari et al., 2025)</w:t>
      </w:r>
      <w:r w:rsidRPr="006153AD">
        <w:rPr>
          <w:sz w:val="22"/>
          <w:szCs w:val="22"/>
        </w:rPr>
        <w:fldChar w:fldCharType="end"/>
      </w:r>
      <w:r w:rsidRPr="006153AD">
        <w:rPr>
          <w:sz w:val="22"/>
          <w:szCs w:val="22"/>
        </w:rPr>
        <w:t xml:space="preserve">. </w:t>
      </w:r>
    </w:p>
    <w:p w14:paraId="3CE645E0" w14:textId="120DE545" w:rsidR="009F71D0" w:rsidRPr="006153AD" w:rsidRDefault="009F71D0" w:rsidP="006153AD">
      <w:pPr>
        <w:ind w:firstLine="720"/>
        <w:jc w:val="both"/>
        <w:rPr>
          <w:sz w:val="22"/>
          <w:szCs w:val="22"/>
        </w:rPr>
      </w:pPr>
      <w:r w:rsidRPr="006153AD">
        <w:rPr>
          <w:sz w:val="22"/>
          <w:szCs w:val="22"/>
        </w:rPr>
        <w:t xml:space="preserve">Kriteria Inklusi </w:t>
      </w:r>
      <w:r w:rsidRPr="006153AD">
        <w:rPr>
          <w:sz w:val="22"/>
          <w:szCs w:val="22"/>
        </w:rPr>
        <w:fldChar w:fldCharType="begin" w:fldLock="1"/>
      </w:r>
      <w:r w:rsidRPr="006153AD">
        <w:rPr>
          <w:sz w:val="22"/>
          <w:szCs w:val="22"/>
        </w:rPr>
        <w:instrText>ADDIN CSL_CITATION {"citationItems":[{"id":"ITEM-1","itemData":{"ISBN":"0000000000000","author":[{"dropping-particle":"","family":"Zheng","given":"Xi-te","non-dropping-particle":"","parse-names":false,"suffix":""},{"dropping-particle":"","family":"Zhang","given":"Xiao-rui","non-dropping-particle":"","parse-names":false,"suffix":""},{"dropping-particle":"","family":"Zhang","given":"Yi-jun","non-dropping-particle":"","parse-names":false,"suffix":""},{"dropping-particle":"","family":"Huang","given":"Feng-yi","non-dropping-particle":"","parse-names":false,"suffix":""},{"dropping-particle":"","family":"Wang","given":"Yi-jie","non-dropping-particle":"","parse-names":false,"suffix":""},{"dropping-particle":"","family":"Gao","given":"Ran","non-dropping-particle":"","parse-names":false,"suffix":""},{"dropping-particle":"","family":"Li","given":"Quan-mei","non-dropping-particle":"","parse-names":false,"suffix":""},{"dropping-particle":"","family":"Liu","given":"Wan-qi","non-dropping-particle":"","parse-names":false,"suffix":""}],"id":"ITEM-1","issued":{"date-parts":[["2024"]]},"page":"46-52","title":"Association of frailty and malnutrition with overall survival in adults with gastrointestinal cancer : A prospective cohort study","type":"article-journal"},"uris":["http://www.mendeley.com/documents/?uuid=4862868d-8c07-4081-82e7-3f78455e91c0"]}],"mendeley":{"formattedCitation":"(Zheng et al., 2024)","plainTextFormattedCitation":"(Zheng et al., 2024)","previouslyFormattedCitation":"(Zheng et al., 2024)"},"properties":{"noteIndex":0},"schema":"https://github.com/citation-style-language/schema/raw/master/csl-citation.json"}</w:instrText>
      </w:r>
      <w:r w:rsidRPr="006153AD">
        <w:rPr>
          <w:sz w:val="22"/>
          <w:szCs w:val="22"/>
        </w:rPr>
        <w:fldChar w:fldCharType="separate"/>
      </w:r>
      <w:r w:rsidRPr="006153AD">
        <w:rPr>
          <w:noProof/>
          <w:sz w:val="22"/>
          <w:szCs w:val="22"/>
        </w:rPr>
        <w:t>(Zheng et al., 2024)</w:t>
      </w:r>
      <w:r w:rsidRPr="006153AD">
        <w:rPr>
          <w:sz w:val="22"/>
          <w:szCs w:val="22"/>
        </w:rPr>
        <w:fldChar w:fldCharType="end"/>
      </w:r>
      <w:r w:rsidRPr="006153AD">
        <w:rPr>
          <w:sz w:val="22"/>
          <w:szCs w:val="22"/>
        </w:rPr>
        <w:t xml:space="preserve"> pada penelitian </w:t>
      </w:r>
      <w:r w:rsidR="006153AD">
        <w:rPr>
          <w:sz w:val="22"/>
          <w:szCs w:val="22"/>
          <w:lang w:val="id-ID"/>
        </w:rPr>
        <w:t>adalah p</w:t>
      </w:r>
      <w:r w:rsidRPr="006153AD">
        <w:rPr>
          <w:sz w:val="22"/>
          <w:szCs w:val="22"/>
        </w:rPr>
        <w:t>asien telah terdiagnosis limfoma berdasarkan reka</w:t>
      </w:r>
      <w:r w:rsidR="006153AD">
        <w:rPr>
          <w:sz w:val="22"/>
          <w:szCs w:val="22"/>
        </w:rPr>
        <w:t>m medis atau pemeriksaan klinis</w:t>
      </w:r>
      <w:r w:rsidR="006153AD">
        <w:rPr>
          <w:sz w:val="22"/>
          <w:szCs w:val="22"/>
          <w:lang w:val="id-ID"/>
        </w:rPr>
        <w:t xml:space="preserve">; </w:t>
      </w:r>
      <w:r w:rsidRPr="006153AD">
        <w:rPr>
          <w:sz w:val="22"/>
          <w:szCs w:val="22"/>
        </w:rPr>
        <w:t>Usia ≥ 18 tahun, karena status gizi dan re</w:t>
      </w:r>
      <w:r w:rsidR="006153AD">
        <w:rPr>
          <w:sz w:val="22"/>
          <w:szCs w:val="22"/>
        </w:rPr>
        <w:t>spons klinis dewasa dengan anak</w:t>
      </w:r>
      <w:r w:rsidR="006153AD">
        <w:rPr>
          <w:sz w:val="22"/>
          <w:szCs w:val="22"/>
          <w:lang w:val="id-ID"/>
        </w:rPr>
        <w:t xml:space="preserve">; </w:t>
      </w:r>
      <w:r w:rsidRPr="006153AD">
        <w:rPr>
          <w:sz w:val="22"/>
          <w:szCs w:val="22"/>
        </w:rPr>
        <w:t>Pasien sadar penuh dan mampu berkomunikasi sehingga dapat menj</w:t>
      </w:r>
      <w:r w:rsidR="006153AD">
        <w:rPr>
          <w:sz w:val="22"/>
          <w:szCs w:val="22"/>
        </w:rPr>
        <w:t>awab instrumen SGA dengan benar</w:t>
      </w:r>
      <w:r w:rsidR="006153AD">
        <w:rPr>
          <w:sz w:val="22"/>
          <w:szCs w:val="22"/>
          <w:lang w:val="id-ID"/>
        </w:rPr>
        <w:t xml:space="preserve">; </w:t>
      </w:r>
      <w:r w:rsidRPr="006153AD">
        <w:rPr>
          <w:sz w:val="22"/>
          <w:szCs w:val="22"/>
        </w:rPr>
        <w:t xml:space="preserve">Pasien bersedia menjadi responden dan telah memberikan </w:t>
      </w:r>
      <w:r w:rsidRPr="006153AD">
        <w:rPr>
          <w:i/>
          <w:iCs/>
          <w:sz w:val="22"/>
          <w:szCs w:val="22"/>
        </w:rPr>
        <w:t>informed consent.</w:t>
      </w:r>
    </w:p>
    <w:p w14:paraId="34DCB435" w14:textId="55263EF5" w:rsidR="009F71D0" w:rsidRPr="00A37B93" w:rsidRDefault="009F71D0" w:rsidP="00A37B93">
      <w:pPr>
        <w:ind w:firstLine="720"/>
        <w:jc w:val="both"/>
        <w:rPr>
          <w:sz w:val="22"/>
          <w:szCs w:val="22"/>
          <w:lang w:val="id-ID"/>
        </w:rPr>
      </w:pPr>
      <w:r w:rsidRPr="006153AD">
        <w:rPr>
          <w:sz w:val="22"/>
          <w:szCs w:val="22"/>
        </w:rPr>
        <w:t>Sedangkan kri</w:t>
      </w:r>
      <w:r w:rsidR="006153AD">
        <w:rPr>
          <w:sz w:val="22"/>
          <w:szCs w:val="22"/>
        </w:rPr>
        <w:t>teria eksklusi sebagai beriku</w:t>
      </w:r>
      <w:r w:rsidR="006153AD">
        <w:rPr>
          <w:sz w:val="22"/>
          <w:szCs w:val="22"/>
          <w:lang w:val="id-ID"/>
        </w:rPr>
        <w:t xml:space="preserve">t; </w:t>
      </w:r>
      <w:r w:rsidRPr="006153AD">
        <w:rPr>
          <w:sz w:val="22"/>
          <w:szCs w:val="22"/>
        </w:rPr>
        <w:t>Pasien dalam kondisi kritis atau tidak stabil secara klinis sehingga tidak m</w:t>
      </w:r>
      <w:r w:rsidR="006153AD">
        <w:rPr>
          <w:sz w:val="22"/>
          <w:szCs w:val="22"/>
        </w:rPr>
        <w:t>emungkinkan pengisian instrument</w:t>
      </w:r>
      <w:r w:rsidR="006153AD">
        <w:rPr>
          <w:sz w:val="22"/>
          <w:szCs w:val="22"/>
          <w:lang w:val="id-ID"/>
        </w:rPr>
        <w:t xml:space="preserve">; </w:t>
      </w:r>
      <w:r w:rsidRPr="006153AD">
        <w:rPr>
          <w:sz w:val="22"/>
          <w:szCs w:val="22"/>
        </w:rPr>
        <w:t xml:space="preserve">Pasien dengan gangguan komunikasi atau kognitif yang menghambat kemampuan atau menjawab pertanyaan SGA secara </w:t>
      </w:r>
      <w:r w:rsidR="006153AD">
        <w:rPr>
          <w:sz w:val="22"/>
          <w:szCs w:val="22"/>
        </w:rPr>
        <w:t>reliable</w:t>
      </w:r>
      <w:r w:rsidR="006153AD">
        <w:rPr>
          <w:sz w:val="22"/>
          <w:szCs w:val="22"/>
          <w:lang w:val="id-ID"/>
        </w:rPr>
        <w:t xml:space="preserve">; </w:t>
      </w:r>
      <w:r w:rsidRPr="006153AD">
        <w:rPr>
          <w:sz w:val="22"/>
          <w:szCs w:val="22"/>
        </w:rPr>
        <w:t>Pasien yang menderita penyakit komorbid berat lain yang dapat memengaruhi status nutrisi secara signifikan (misalnya gagal organ lanjut, infeksi berat aktif), sehingga data nutrisi menjadi s</w:t>
      </w:r>
      <w:r w:rsidR="00A37B93">
        <w:rPr>
          <w:sz w:val="22"/>
          <w:szCs w:val="22"/>
        </w:rPr>
        <w:t>ulit hanya berdasarkan limfoma</w:t>
      </w:r>
    </w:p>
    <w:p w14:paraId="0FA91926" w14:textId="13A905E5" w:rsidR="009F71D0" w:rsidRPr="00A37B93" w:rsidRDefault="009F71D0" w:rsidP="00A37B93">
      <w:pPr>
        <w:ind w:firstLine="720"/>
        <w:jc w:val="both"/>
        <w:rPr>
          <w:strike/>
          <w:color w:val="000000" w:themeColor="text1"/>
          <w:sz w:val="22"/>
          <w:szCs w:val="22"/>
          <w:lang w:val="id-ID"/>
        </w:rPr>
      </w:pPr>
      <w:r w:rsidRPr="006153AD">
        <w:rPr>
          <w:color w:val="000000" w:themeColor="text1"/>
          <w:sz w:val="22"/>
          <w:szCs w:val="22"/>
        </w:rPr>
        <w:t xml:space="preserve">Variabel dalam penelitian merupakan ciri, sifat atau kejadian yang bisa diukur atau diliat dan berbeda nilainya antara satu unit dengan unit lainya, variabel berfungsi sebagai landasan untuk pengumpulan data dan menganalisis dalam penelitian guna mendeskripsikan dan menjawab fokus yang telah ditentukan </w:t>
      </w:r>
      <w:r w:rsidRPr="006153AD">
        <w:rPr>
          <w:color w:val="000000" w:themeColor="text1"/>
          <w:sz w:val="22"/>
          <w:szCs w:val="22"/>
        </w:rPr>
        <w:fldChar w:fldCharType="begin" w:fldLock="1"/>
      </w:r>
      <w:r w:rsidRPr="006153AD">
        <w:rPr>
          <w:color w:val="000000" w:themeColor="text1"/>
          <w:sz w:val="22"/>
          <w:szCs w:val="22"/>
        </w:rPr>
        <w:instrText>ADDIN CSL_CITATION {"citationItems":[{"id":"ITEM-1","itemData":{"author":[{"dropping-particle":"","family":"Susianti","given":"Oni Marliana","non-dropping-particle":"","parse-names":false,"suffix":""}],"id":"ITEM-1","issued":{"date-parts":[["2024"]]},"page":"18-30","title":"Perumusan Variabel Dan Indikator Dalam Penelitian Kuantitatif Kependidikan","type":"article-journal","volume":"9"},"uris":["http://www.mendeley.com/documents/?uuid=b662d128-0f89-4231-be78-8bab0b486c75"]}],"mendeley":{"formattedCitation":"(Susianti, 2024)","plainTextFormattedCitation":"(Susianti, 2024)","previouslyFormattedCitation":"(Susianti, 2024)"},"properties":{"noteIndex":0},"schema":"https://github.com/citation-style-language/schema/raw/master/csl-citation.json"}</w:instrText>
      </w:r>
      <w:r w:rsidRPr="006153AD">
        <w:rPr>
          <w:color w:val="000000" w:themeColor="text1"/>
          <w:sz w:val="22"/>
          <w:szCs w:val="22"/>
        </w:rPr>
        <w:fldChar w:fldCharType="separate"/>
      </w:r>
      <w:r w:rsidRPr="006153AD">
        <w:rPr>
          <w:noProof/>
          <w:color w:val="000000" w:themeColor="text1"/>
          <w:sz w:val="22"/>
          <w:szCs w:val="22"/>
        </w:rPr>
        <w:t>(Susianti, 2024)</w:t>
      </w:r>
      <w:r w:rsidRPr="006153AD">
        <w:rPr>
          <w:color w:val="000000" w:themeColor="text1"/>
          <w:sz w:val="22"/>
          <w:szCs w:val="22"/>
        </w:rPr>
        <w:fldChar w:fldCharType="end"/>
      </w:r>
      <w:r w:rsidRPr="006153AD">
        <w:rPr>
          <w:color w:val="000000" w:themeColor="text1"/>
          <w:sz w:val="22"/>
          <w:szCs w:val="22"/>
        </w:rPr>
        <w:t xml:space="preserve">. Variabel tunggal adalah variabel penelitian yang yang diamati untuk menggambarkan karakteristik atau kondisi tertentu dati subjek penelitian tanpa menganalisis hubungan kausal dan variabel lain </w:t>
      </w:r>
      <w:r w:rsidRPr="006153AD">
        <w:rPr>
          <w:color w:val="000000" w:themeColor="text1"/>
          <w:sz w:val="22"/>
          <w:szCs w:val="22"/>
        </w:rPr>
        <w:fldChar w:fldCharType="begin" w:fldLock="1"/>
      </w:r>
      <w:r w:rsidRPr="006153AD">
        <w:rPr>
          <w:color w:val="000000" w:themeColor="text1"/>
          <w:sz w:val="22"/>
          <w:szCs w:val="22"/>
        </w:rPr>
        <w:instrText>ADDIN CSL_CITATION {"citationItems":[{"id":"ITEM-1","itemData":{"author":[{"dropping-particle":"","family":"Jannah","given":"Silfia Mifthahul","non-dropping-particle":"","parse-names":false,"suffix":""},{"dropping-particle":"","family":"Inayah","given":"Desy Tri","non-dropping-particle":"","parse-names":false,"suffix":""}],"id":"ITEM-1","issue":"1","issued":{"date-parts":[["2022"]]},"page":"26-34","title":"KELAYAKAN MEDIA PEMBELAJARAN E-LEARNING BERBASIS EDMODO UNTUK MATA PELAJARAN","type":"article-journal","volume":"8"},"uris":["http://www.mendeley.com/documents/?uuid=417ecdf8-4ac6-4aa7-8be9-ff72717583c1"]}],"mendeley":{"formattedCitation":"(Jannah &amp; Inayah, 2022)","plainTextFormattedCitation":"(Jannah &amp; Inayah, 2022)","previouslyFormattedCitation":"(Jannah &amp; Inayah, 2022)"},"properties":{"noteIndex":0},"schema":"https://github.com/citation-style-language/schema/raw/master/csl-citation.json"}</w:instrText>
      </w:r>
      <w:r w:rsidRPr="006153AD">
        <w:rPr>
          <w:color w:val="000000" w:themeColor="text1"/>
          <w:sz w:val="22"/>
          <w:szCs w:val="22"/>
        </w:rPr>
        <w:fldChar w:fldCharType="separate"/>
      </w:r>
      <w:r w:rsidRPr="006153AD">
        <w:rPr>
          <w:noProof/>
          <w:color w:val="000000" w:themeColor="text1"/>
          <w:sz w:val="22"/>
          <w:szCs w:val="22"/>
        </w:rPr>
        <w:t>(Jannah &amp; Inayah, 2022)</w:t>
      </w:r>
      <w:r w:rsidRPr="006153AD">
        <w:rPr>
          <w:color w:val="000000" w:themeColor="text1"/>
          <w:sz w:val="22"/>
          <w:szCs w:val="22"/>
        </w:rPr>
        <w:fldChar w:fldCharType="end"/>
      </w:r>
      <w:r w:rsidRPr="006153AD">
        <w:rPr>
          <w:color w:val="000000" w:themeColor="text1"/>
          <w:sz w:val="22"/>
          <w:szCs w:val="22"/>
        </w:rPr>
        <w:t xml:space="preserve">. </w:t>
      </w:r>
      <w:proofErr w:type="gramStart"/>
      <w:r w:rsidRPr="006153AD">
        <w:rPr>
          <w:color w:val="000000" w:themeColor="text1"/>
          <w:sz w:val="22"/>
          <w:szCs w:val="22"/>
        </w:rPr>
        <w:t>Penelitian ini bersifat deskriptif dengan satu variabel penelitian, yaitu status gizi pasien limfoma yang diukur menggunakan Subjective Global Assessment (SGA), tanpa membedakan variabel independen dan dependen.</w:t>
      </w:r>
      <w:proofErr w:type="gramEnd"/>
    </w:p>
    <w:p w14:paraId="6456EF2A" w14:textId="2F24B034" w:rsidR="009F71D0" w:rsidRPr="00A37B93" w:rsidRDefault="009F71D0" w:rsidP="00A37B93">
      <w:pPr>
        <w:ind w:firstLine="709"/>
        <w:jc w:val="both"/>
        <w:rPr>
          <w:sz w:val="22"/>
          <w:szCs w:val="22"/>
        </w:rPr>
      </w:pPr>
      <w:r w:rsidRPr="006153AD">
        <w:rPr>
          <w:sz w:val="22"/>
          <w:szCs w:val="22"/>
        </w:rPr>
        <w:t xml:space="preserve">Data dalam penelitian ini dikumpulkan menggunakan lembar kuesioner berbasis kertas(paper- </w:t>
      </w:r>
      <w:r w:rsidRPr="006153AD">
        <w:rPr>
          <w:i/>
          <w:iCs/>
          <w:sz w:val="22"/>
          <w:szCs w:val="22"/>
        </w:rPr>
        <w:t>based questionnaire</w:t>
      </w:r>
      <w:r w:rsidRPr="006153AD">
        <w:rPr>
          <w:sz w:val="22"/>
          <w:szCs w:val="22"/>
        </w:rPr>
        <w:t>) dengan mekanisme sebag</w:t>
      </w:r>
      <w:r w:rsidR="00A37B93">
        <w:rPr>
          <w:sz w:val="22"/>
          <w:szCs w:val="22"/>
        </w:rPr>
        <w:t>ai berikut:</w:t>
      </w:r>
      <w:r w:rsidR="00A37B93">
        <w:rPr>
          <w:sz w:val="22"/>
          <w:szCs w:val="22"/>
          <w:lang w:val="id-ID"/>
        </w:rPr>
        <w:t xml:space="preserve"> </w:t>
      </w:r>
      <w:r w:rsidRPr="00A37B93">
        <w:rPr>
          <w:sz w:val="22"/>
          <w:szCs w:val="22"/>
        </w:rPr>
        <w:t xml:space="preserve">Peneliti menyiapkan dan mencetak instrumen penelitian dan kemudian membagikan secara langsug kepada responden pasien limfoma yang memenuhi kriteria inklusi, pengumpulan data dilakukan secara tatap muka di ruang rawat perawatan rawat inap atau unit </w:t>
      </w:r>
      <w:r w:rsidRPr="00A37B93">
        <w:rPr>
          <w:sz w:val="22"/>
          <w:szCs w:val="22"/>
        </w:rPr>
        <w:lastRenderedPageBreak/>
        <w:t>pelayanan rawat jalan tempat pasien menjalani pengobatan</w:t>
      </w:r>
      <w:r w:rsidR="00A37B93">
        <w:rPr>
          <w:sz w:val="22"/>
          <w:szCs w:val="22"/>
          <w:lang w:val="id-ID"/>
        </w:rPr>
        <w:t xml:space="preserve">; </w:t>
      </w:r>
      <w:r w:rsidRPr="00A37B93">
        <w:rPr>
          <w:sz w:val="22"/>
          <w:szCs w:val="22"/>
        </w:rPr>
        <w:t xml:space="preserve">Responden diminta mengisi formulir data demografi dan klinis yang meliputi identitas seperti usia, jenis kelamin, berat badan, tinggi badan, diagnosis limfoma, lama menderita penyakit, serta status </w:t>
      </w:r>
      <w:r w:rsidR="00A37B93">
        <w:rPr>
          <w:sz w:val="22"/>
          <w:szCs w:val="22"/>
        </w:rPr>
        <w:t>pengobatan yang sedang dijalani</w:t>
      </w:r>
      <w:r w:rsidR="00A37B93">
        <w:rPr>
          <w:sz w:val="22"/>
          <w:szCs w:val="22"/>
          <w:lang w:val="id-ID"/>
        </w:rPr>
        <w:t xml:space="preserve">; </w:t>
      </w:r>
      <w:r w:rsidRPr="00A37B93">
        <w:rPr>
          <w:sz w:val="22"/>
          <w:szCs w:val="22"/>
        </w:rPr>
        <w:t xml:space="preserve">Penilaian status dilakukan menggunakan instrumen </w:t>
      </w:r>
      <w:r w:rsidRPr="00A37B93">
        <w:rPr>
          <w:i/>
          <w:iCs/>
          <w:sz w:val="22"/>
          <w:szCs w:val="22"/>
        </w:rPr>
        <w:t>Subjective Global Assessment</w:t>
      </w:r>
      <w:r w:rsidR="00A37B93">
        <w:rPr>
          <w:sz w:val="22"/>
          <w:szCs w:val="22"/>
        </w:rPr>
        <w:t xml:space="preserve"> (SGA)</w:t>
      </w:r>
      <w:r w:rsidR="00A37B93">
        <w:rPr>
          <w:sz w:val="22"/>
          <w:szCs w:val="22"/>
          <w:lang w:val="id-ID"/>
        </w:rPr>
        <w:t xml:space="preserve">; </w:t>
      </w:r>
      <w:r w:rsidRPr="00A37B93">
        <w:rPr>
          <w:sz w:val="22"/>
          <w:szCs w:val="22"/>
        </w:rPr>
        <w:t>Hasil penelitian SGA dicatat dan diklasifikasikan ke dalam kategori gizi yaitu SGA (A), SGA (B) dan SGA (C) sesuai dengan pedoman penilaian SGA</w:t>
      </w:r>
    </w:p>
    <w:p w14:paraId="76220954" w14:textId="77777777" w:rsidR="009F71D0" w:rsidRPr="006153AD" w:rsidRDefault="009F71D0" w:rsidP="006153AD">
      <w:pPr>
        <w:pStyle w:val="Heading2"/>
        <w:spacing w:before="0" w:after="0"/>
        <w:jc w:val="both"/>
        <w:rPr>
          <w:b w:val="0"/>
          <w:bCs w:val="0"/>
          <w:color w:val="000000" w:themeColor="text1"/>
          <w:sz w:val="22"/>
          <w:szCs w:val="22"/>
        </w:rPr>
      </w:pPr>
      <w:bookmarkStart w:id="1" w:name="_Toc220746625"/>
      <w:r w:rsidRPr="006153AD">
        <w:rPr>
          <w:color w:val="000000" w:themeColor="text1"/>
          <w:sz w:val="22"/>
          <w:szCs w:val="22"/>
        </w:rPr>
        <w:t>Analisis Data</w:t>
      </w:r>
      <w:bookmarkEnd w:id="1"/>
    </w:p>
    <w:p w14:paraId="5594F05B" w14:textId="43C9B3E6" w:rsidR="009F71D0" w:rsidRPr="006153AD" w:rsidRDefault="00A37B93" w:rsidP="00A37B93">
      <w:pPr>
        <w:ind w:firstLine="720"/>
        <w:jc w:val="both"/>
        <w:rPr>
          <w:sz w:val="22"/>
          <w:szCs w:val="22"/>
        </w:rPr>
      </w:pPr>
      <w:r>
        <w:rPr>
          <w:sz w:val="22"/>
          <w:szCs w:val="22"/>
        </w:rPr>
        <w:t>Analisis Univariat</w:t>
      </w:r>
      <w:r>
        <w:rPr>
          <w:sz w:val="22"/>
          <w:szCs w:val="22"/>
          <w:lang w:val="id-ID"/>
        </w:rPr>
        <w:t>, a</w:t>
      </w:r>
      <w:r w:rsidR="009F71D0" w:rsidRPr="006153AD">
        <w:rPr>
          <w:sz w:val="22"/>
          <w:szCs w:val="22"/>
        </w:rPr>
        <w:t xml:space="preserve">nalisis data dalam penelitaian ini dilakukan secara univariat, sesuai denagan desain deskriptif observasional yang bertujuan untuk menggambarkan karakterisirik tunggal tanpa menganalisis hubungan antarvariabel, analisis univariat merupakan pendekatan statistik yang digunakan untuk menyajikan deskripsi sederhana dari data yang dikumpulkan </w:t>
      </w:r>
      <w:r w:rsidR="009F71D0" w:rsidRPr="006153AD">
        <w:rPr>
          <w:sz w:val="22"/>
          <w:szCs w:val="22"/>
        </w:rPr>
        <w:fldChar w:fldCharType="begin" w:fldLock="1"/>
      </w:r>
      <w:r w:rsidR="009F71D0" w:rsidRPr="006153AD">
        <w:rPr>
          <w:sz w:val="22"/>
          <w:szCs w:val="22"/>
        </w:rPr>
        <w:instrText>ADDIN CSL_CITATION {"citationItems":[{"id":"ITEM-1","itemData":{"author":[{"dropping-particle":"","family":"Subhaktiyasa","given":"Putu Gede","non-dropping-particle":"","parse-names":false,"suffix":""},{"dropping-particle":"","family":"Ayu","given":"Sang","non-dropping-particle":"","parse-names":false,"suffix":""},{"dropping-particle":"","family":"Candrawati","given":"Ketut","non-dropping-particle":"","parse-names":false,"suffix":""},{"dropping-particle":"","family":"Sumaryani","given":"N Putri","non-dropping-particle":"","parse-names":false,"suffix":""},{"dropping-particle":"","family":"Sunita","given":"Wayan","non-dropping-particle":"","parse-names":false,"suffix":""}],"id":"ITEM-1","issued":{"date-parts":[["2025"]]},"page":"96-104","title":"Emasains Emasains","type":"article-journal"},"uris":["http://www.mendeley.com/documents/?uuid=1b48f3bc-4a9b-41f2-81aa-31b7a4593156"]}],"mendeley":{"formattedCitation":"(Subhaktiyasa et al., 2025)","plainTextFormattedCitation":"(Subhaktiyasa et al., 2025)","previouslyFormattedCitation":"(Subhaktiyasa et al., 2025)"},"properties":{"noteIndex":0},"schema":"https://github.com/citation-style-language/schema/raw/master/csl-citation.json"}</w:instrText>
      </w:r>
      <w:r w:rsidR="009F71D0" w:rsidRPr="006153AD">
        <w:rPr>
          <w:sz w:val="22"/>
          <w:szCs w:val="22"/>
        </w:rPr>
        <w:fldChar w:fldCharType="separate"/>
      </w:r>
      <w:r w:rsidR="009F71D0" w:rsidRPr="006153AD">
        <w:rPr>
          <w:noProof/>
          <w:sz w:val="22"/>
          <w:szCs w:val="22"/>
        </w:rPr>
        <w:t>(Subhaktiyasa et al., 2025)</w:t>
      </w:r>
      <w:r w:rsidR="009F71D0" w:rsidRPr="006153AD">
        <w:rPr>
          <w:sz w:val="22"/>
          <w:szCs w:val="22"/>
        </w:rPr>
        <w:fldChar w:fldCharType="end"/>
      </w:r>
      <w:r w:rsidR="009F71D0" w:rsidRPr="006153AD">
        <w:rPr>
          <w:sz w:val="22"/>
          <w:szCs w:val="22"/>
        </w:rPr>
        <w:t xml:space="preserve">. Dalam konteks penelitian ini, analisis univariat digunakan untuk mengidentifikasi data demografi pasien limfoma dan menyajikan distribusi nilai </w:t>
      </w:r>
      <w:r w:rsidR="009F71D0" w:rsidRPr="006153AD">
        <w:rPr>
          <w:i/>
          <w:iCs/>
          <w:sz w:val="22"/>
          <w:szCs w:val="22"/>
        </w:rPr>
        <w:t>Subjectuve Global Assessment</w:t>
      </w:r>
      <w:r w:rsidR="009F71D0" w:rsidRPr="006153AD">
        <w:rPr>
          <w:sz w:val="22"/>
          <w:szCs w:val="22"/>
        </w:rPr>
        <w:t xml:space="preserve"> (SGA) pasien limfoma berdasarkan kategori SGA yaitu SGA A (status gizi baik), SGA B (malnutrisi ringan- sedang), dan SGA C (malnutrisi berat) </w:t>
      </w:r>
      <w:r w:rsidR="009F71D0" w:rsidRPr="006153AD">
        <w:rPr>
          <w:sz w:val="22"/>
          <w:szCs w:val="22"/>
        </w:rPr>
        <w:fldChar w:fldCharType="begin" w:fldLock="1"/>
      </w:r>
      <w:r w:rsidR="009F71D0" w:rsidRPr="006153AD">
        <w:rPr>
          <w:sz w:val="22"/>
          <w:szCs w:val="22"/>
        </w:rPr>
        <w:instrText>ADDIN CSL_CITATION {"citationItems":[{"id":"ITEM-1","itemData":{"author":[{"dropping-particle":"","family":"Lujuk","given":"Herlina","non-dropping-particle":"","parse-names":false,"suffix":""},{"dropping-particle":"","family":"Sinaga","given":"Clara Ritawany","non-dropping-particle":"","parse-names":false,"suffix":""},{"dropping-particle":"","family":"Erwina","given":"Wiwi","non-dropping-particle":"","parse-names":false,"suffix":""}],"id":"ITEM-1","issue":"2","issued":{"date-parts":[["2023"]]},"page":"170-176","title":"Profil Farmakoepidemiologi Suplemen Penambah Darah dan Pengukuran Kualitas Hidup pada Ibu Hamil di UPT Puskesmas Kecamatan Kongbeng Kabupaten Kutai Timur","type":"article-journal","volume":"10"},"uris":["http://www.mendeley.com/documents/?uuid=4762c39e-a56b-4bfb-85c9-aee815f1b8f1"]}],"mendeley":{"formattedCitation":"(Lujuk et al., 2023)","plainTextFormattedCitation":"(Lujuk et al., 2023)","previouslyFormattedCitation":"(Lujuk et al., 2023)"},"properties":{"noteIndex":0},"schema":"https://github.com/citation-style-language/schema/raw/master/csl-citation.json"}</w:instrText>
      </w:r>
      <w:r w:rsidR="009F71D0" w:rsidRPr="006153AD">
        <w:rPr>
          <w:sz w:val="22"/>
          <w:szCs w:val="22"/>
        </w:rPr>
        <w:fldChar w:fldCharType="separate"/>
      </w:r>
      <w:r w:rsidR="009F71D0" w:rsidRPr="006153AD">
        <w:rPr>
          <w:noProof/>
          <w:sz w:val="22"/>
          <w:szCs w:val="22"/>
        </w:rPr>
        <w:t>(Lujuk et al., 2023)</w:t>
      </w:r>
      <w:r w:rsidR="009F71D0" w:rsidRPr="006153AD">
        <w:rPr>
          <w:sz w:val="22"/>
          <w:szCs w:val="22"/>
        </w:rPr>
        <w:fldChar w:fldCharType="end"/>
      </w:r>
      <w:r w:rsidR="009F71D0" w:rsidRPr="006153AD">
        <w:rPr>
          <w:sz w:val="22"/>
          <w:szCs w:val="22"/>
        </w:rPr>
        <w:t>.</w:t>
      </w:r>
    </w:p>
    <w:p w14:paraId="2C074CB5" w14:textId="77777777" w:rsidR="00A37B93" w:rsidRDefault="00A37B93" w:rsidP="006153AD">
      <w:pPr>
        <w:jc w:val="both"/>
        <w:rPr>
          <w:b/>
          <w:bCs/>
          <w:sz w:val="22"/>
          <w:szCs w:val="22"/>
          <w:lang w:val="id-ID"/>
        </w:rPr>
      </w:pPr>
    </w:p>
    <w:p w14:paraId="6348BF39" w14:textId="2F16808A" w:rsidR="00E543CA" w:rsidRDefault="0055649A" w:rsidP="00A37B93">
      <w:pPr>
        <w:jc w:val="both"/>
        <w:rPr>
          <w:b/>
          <w:bCs/>
          <w:sz w:val="22"/>
          <w:szCs w:val="22"/>
          <w:lang w:val="id-ID"/>
        </w:rPr>
      </w:pPr>
      <w:r w:rsidRPr="006153AD">
        <w:rPr>
          <w:b/>
          <w:bCs/>
          <w:sz w:val="22"/>
          <w:szCs w:val="22"/>
        </w:rPr>
        <w:t xml:space="preserve">HASIL </w:t>
      </w:r>
    </w:p>
    <w:p w14:paraId="0D4DFE3C" w14:textId="77777777" w:rsidR="00A37B93" w:rsidRPr="00A37B93" w:rsidRDefault="00A37B93" w:rsidP="00A37B93">
      <w:pPr>
        <w:jc w:val="both"/>
        <w:rPr>
          <w:b/>
          <w:bCs/>
          <w:sz w:val="22"/>
          <w:szCs w:val="22"/>
          <w:lang w:val="id-ID"/>
        </w:rPr>
      </w:pPr>
    </w:p>
    <w:p w14:paraId="78DCDF4C" w14:textId="041EFDF2" w:rsidR="00E543CA" w:rsidRPr="006153AD" w:rsidRDefault="00E543CA" w:rsidP="006153AD">
      <w:pPr>
        <w:pStyle w:val="NormalWeb"/>
        <w:shd w:val="clear" w:color="auto" w:fill="FFFFFF"/>
        <w:spacing w:before="0" w:beforeAutospacing="0" w:after="0" w:afterAutospacing="0"/>
        <w:ind w:firstLine="720"/>
        <w:jc w:val="both"/>
        <w:rPr>
          <w:color w:val="1F1F1F"/>
          <w:sz w:val="22"/>
          <w:szCs w:val="22"/>
          <w:shd w:val="clear" w:color="auto" w:fill="FFFFFF"/>
        </w:rPr>
      </w:pPr>
      <w:proofErr w:type="gramStart"/>
      <w:r w:rsidRPr="006153AD">
        <w:rPr>
          <w:color w:val="1F1F1F"/>
          <w:sz w:val="22"/>
          <w:szCs w:val="22"/>
          <w:shd w:val="clear" w:color="auto" w:fill="FFFFFF"/>
        </w:rPr>
        <w:t>Data yang terkumpul dalam penelitian ini dianalisis dan disajikan dalam dua kategori utama, yaitu data karakteristik responden dan data analisis variabel penelitian.</w:t>
      </w:r>
      <w:proofErr w:type="gramEnd"/>
    </w:p>
    <w:p w14:paraId="6AD7E6C5" w14:textId="77777777" w:rsidR="00FF4CE8" w:rsidRPr="00A37B93" w:rsidRDefault="00FF4CE8" w:rsidP="006153AD">
      <w:pPr>
        <w:pStyle w:val="NormalWeb"/>
        <w:shd w:val="clear" w:color="auto" w:fill="FFFFFF"/>
        <w:spacing w:before="0" w:beforeAutospacing="0" w:after="0" w:afterAutospacing="0"/>
        <w:ind w:firstLine="720"/>
        <w:jc w:val="both"/>
        <w:rPr>
          <w:color w:val="1F1F1F"/>
          <w:sz w:val="22"/>
          <w:szCs w:val="22"/>
          <w:shd w:val="clear" w:color="auto" w:fill="FFFFFF"/>
          <w:lang w:val="id-ID"/>
        </w:rPr>
      </w:pPr>
    </w:p>
    <w:p w14:paraId="4C6F4E89" w14:textId="77777777" w:rsidR="00E543CA" w:rsidRPr="006153AD" w:rsidRDefault="00E543CA" w:rsidP="006153AD">
      <w:pPr>
        <w:pStyle w:val="Caption"/>
        <w:keepNext/>
        <w:spacing w:after="0"/>
        <w:jc w:val="center"/>
        <w:rPr>
          <w:rFonts w:ascii="Times New Roman" w:hAnsi="Times New Roman"/>
          <w:i w:val="0"/>
          <w:iCs w:val="0"/>
          <w:color w:val="auto"/>
          <w:sz w:val="22"/>
          <w:szCs w:val="22"/>
        </w:rPr>
      </w:pPr>
      <w:r w:rsidRPr="006153AD">
        <w:rPr>
          <w:rFonts w:ascii="Times New Roman" w:hAnsi="Times New Roman"/>
          <w:i w:val="0"/>
          <w:iCs w:val="0"/>
          <w:color w:val="auto"/>
          <w:sz w:val="22"/>
          <w:szCs w:val="22"/>
        </w:rPr>
        <w:t xml:space="preserve">Tabel </w:t>
      </w:r>
      <w:r w:rsidRPr="006153AD">
        <w:rPr>
          <w:rFonts w:ascii="Times New Roman" w:hAnsi="Times New Roman"/>
          <w:i w:val="0"/>
          <w:iCs w:val="0"/>
          <w:color w:val="auto"/>
          <w:sz w:val="22"/>
          <w:szCs w:val="22"/>
        </w:rPr>
        <w:fldChar w:fldCharType="begin"/>
      </w:r>
      <w:r w:rsidRPr="006153AD">
        <w:rPr>
          <w:rFonts w:ascii="Times New Roman" w:hAnsi="Times New Roman"/>
          <w:i w:val="0"/>
          <w:iCs w:val="0"/>
          <w:color w:val="auto"/>
          <w:sz w:val="22"/>
          <w:szCs w:val="22"/>
        </w:rPr>
        <w:instrText xml:space="preserve"> STYLEREF 1 \s </w:instrText>
      </w:r>
      <w:r w:rsidRPr="006153AD">
        <w:rPr>
          <w:rFonts w:ascii="Times New Roman" w:hAnsi="Times New Roman"/>
          <w:i w:val="0"/>
          <w:iCs w:val="0"/>
          <w:color w:val="auto"/>
          <w:sz w:val="22"/>
          <w:szCs w:val="22"/>
        </w:rPr>
        <w:fldChar w:fldCharType="separate"/>
      </w:r>
      <w:r w:rsidR="00D22FF3">
        <w:rPr>
          <w:rFonts w:ascii="Times New Roman" w:hAnsi="Times New Roman"/>
          <w:b/>
          <w:bCs/>
          <w:i w:val="0"/>
          <w:iCs w:val="0"/>
          <w:noProof/>
          <w:color w:val="auto"/>
          <w:sz w:val="22"/>
          <w:szCs w:val="22"/>
          <w:lang w:val="en-US"/>
        </w:rPr>
        <w:t>Error! No text of specified style in document.</w:t>
      </w:r>
      <w:r w:rsidRPr="006153AD">
        <w:rPr>
          <w:rFonts w:ascii="Times New Roman" w:hAnsi="Times New Roman"/>
          <w:i w:val="0"/>
          <w:iCs w:val="0"/>
          <w:color w:val="auto"/>
          <w:sz w:val="22"/>
          <w:szCs w:val="22"/>
        </w:rPr>
        <w:fldChar w:fldCharType="end"/>
      </w:r>
      <w:r w:rsidRPr="006153AD">
        <w:rPr>
          <w:rFonts w:ascii="Times New Roman" w:hAnsi="Times New Roman"/>
          <w:i w:val="0"/>
          <w:iCs w:val="0"/>
          <w:color w:val="auto"/>
          <w:sz w:val="22"/>
          <w:szCs w:val="22"/>
        </w:rPr>
        <w:t>.</w:t>
      </w:r>
      <w:r w:rsidRPr="006153AD">
        <w:rPr>
          <w:rFonts w:ascii="Times New Roman" w:hAnsi="Times New Roman"/>
          <w:i w:val="0"/>
          <w:iCs w:val="0"/>
          <w:color w:val="auto"/>
          <w:sz w:val="22"/>
          <w:szCs w:val="22"/>
        </w:rPr>
        <w:fldChar w:fldCharType="begin"/>
      </w:r>
      <w:r w:rsidRPr="006153AD">
        <w:rPr>
          <w:rFonts w:ascii="Times New Roman" w:hAnsi="Times New Roman"/>
          <w:i w:val="0"/>
          <w:iCs w:val="0"/>
          <w:color w:val="auto"/>
          <w:sz w:val="22"/>
          <w:szCs w:val="22"/>
        </w:rPr>
        <w:instrText xml:space="preserve"> SEQ Tabel \* ARABIC \s 1 </w:instrText>
      </w:r>
      <w:r w:rsidRPr="006153AD">
        <w:rPr>
          <w:rFonts w:ascii="Times New Roman" w:hAnsi="Times New Roman"/>
          <w:i w:val="0"/>
          <w:iCs w:val="0"/>
          <w:color w:val="auto"/>
          <w:sz w:val="22"/>
          <w:szCs w:val="22"/>
        </w:rPr>
        <w:fldChar w:fldCharType="separate"/>
      </w:r>
      <w:r w:rsidR="00D22FF3">
        <w:rPr>
          <w:rFonts w:ascii="Times New Roman" w:hAnsi="Times New Roman"/>
          <w:i w:val="0"/>
          <w:iCs w:val="0"/>
          <w:noProof/>
          <w:color w:val="auto"/>
          <w:sz w:val="22"/>
          <w:szCs w:val="22"/>
        </w:rPr>
        <w:t>1</w:t>
      </w:r>
      <w:r w:rsidRPr="006153AD">
        <w:rPr>
          <w:rFonts w:ascii="Times New Roman" w:hAnsi="Times New Roman"/>
          <w:i w:val="0"/>
          <w:iCs w:val="0"/>
          <w:color w:val="auto"/>
          <w:sz w:val="22"/>
          <w:szCs w:val="22"/>
        </w:rPr>
        <w:fldChar w:fldCharType="end"/>
      </w:r>
      <w:r w:rsidRPr="006153AD">
        <w:rPr>
          <w:rFonts w:ascii="Times New Roman" w:hAnsi="Times New Roman"/>
          <w:i w:val="0"/>
          <w:iCs w:val="0"/>
          <w:color w:val="auto"/>
          <w:sz w:val="22"/>
          <w:szCs w:val="22"/>
        </w:rPr>
        <w:t xml:space="preserve"> Distribusi Status Gizi Keseluruhan Berdasarkan SGA (n=20)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945"/>
        <w:gridCol w:w="1372"/>
      </w:tblGrid>
      <w:tr w:rsidR="00E543CA" w:rsidRPr="00A37B93" w14:paraId="3B60AB29" w14:textId="77777777" w:rsidTr="00F703C6">
        <w:trPr>
          <w:jc w:val="center"/>
        </w:trPr>
        <w:tc>
          <w:tcPr>
            <w:tcW w:w="3254" w:type="dxa"/>
            <w:tcBorders>
              <w:top w:val="single" w:sz="4" w:space="0" w:color="auto"/>
              <w:bottom w:val="single" w:sz="4" w:space="0" w:color="auto"/>
            </w:tcBorders>
          </w:tcPr>
          <w:p w14:paraId="6524B535" w14:textId="77777777" w:rsidR="00E543CA" w:rsidRPr="00A37B93" w:rsidRDefault="00E543CA" w:rsidP="006153AD">
            <w:pPr>
              <w:jc w:val="center"/>
              <w:rPr>
                <w:rFonts w:ascii="Times New Roman" w:hAnsi="Times New Roman"/>
                <w:b/>
                <w:bCs/>
                <w:lang w:val="id-ID"/>
              </w:rPr>
            </w:pPr>
            <w:r w:rsidRPr="00A37B93">
              <w:rPr>
                <w:rFonts w:ascii="Times New Roman" w:hAnsi="Times New Roman"/>
                <w:b/>
                <w:bCs/>
                <w:lang w:val="id-ID"/>
              </w:rPr>
              <w:t>Kategori SGA</w:t>
            </w:r>
          </w:p>
        </w:tc>
        <w:tc>
          <w:tcPr>
            <w:tcW w:w="1462" w:type="dxa"/>
            <w:tcBorders>
              <w:top w:val="single" w:sz="4" w:space="0" w:color="auto"/>
              <w:bottom w:val="single" w:sz="4" w:space="0" w:color="auto"/>
            </w:tcBorders>
          </w:tcPr>
          <w:p w14:paraId="4C48B17B" w14:textId="77777777" w:rsidR="00E543CA" w:rsidRPr="00A37B93" w:rsidRDefault="00E543CA" w:rsidP="006153AD">
            <w:pPr>
              <w:jc w:val="center"/>
              <w:rPr>
                <w:rFonts w:ascii="Times New Roman" w:hAnsi="Times New Roman"/>
                <w:b/>
                <w:bCs/>
                <w:lang w:val="id-ID"/>
              </w:rPr>
            </w:pPr>
            <w:r w:rsidRPr="00A37B93">
              <w:rPr>
                <w:rFonts w:ascii="Times New Roman" w:hAnsi="Times New Roman"/>
                <w:b/>
                <w:bCs/>
                <w:lang w:val="id-ID"/>
              </w:rPr>
              <w:t>(n)</w:t>
            </w:r>
          </w:p>
        </w:tc>
        <w:tc>
          <w:tcPr>
            <w:tcW w:w="1947" w:type="dxa"/>
            <w:tcBorders>
              <w:top w:val="single" w:sz="4" w:space="0" w:color="auto"/>
              <w:bottom w:val="single" w:sz="4" w:space="0" w:color="auto"/>
            </w:tcBorders>
          </w:tcPr>
          <w:p w14:paraId="1BCDA5DC" w14:textId="77777777" w:rsidR="00E543CA" w:rsidRPr="00A37B93" w:rsidRDefault="00E543CA" w:rsidP="006153AD">
            <w:pPr>
              <w:jc w:val="center"/>
              <w:rPr>
                <w:rFonts w:ascii="Times New Roman" w:hAnsi="Times New Roman"/>
                <w:b/>
                <w:bCs/>
                <w:lang w:val="id-ID"/>
              </w:rPr>
            </w:pPr>
            <w:r w:rsidRPr="00A37B93">
              <w:rPr>
                <w:rFonts w:ascii="Times New Roman" w:hAnsi="Times New Roman"/>
                <w:b/>
                <w:bCs/>
                <w:lang w:val="id-ID"/>
              </w:rPr>
              <w:t>%</w:t>
            </w:r>
          </w:p>
        </w:tc>
      </w:tr>
      <w:tr w:rsidR="00E543CA" w:rsidRPr="00A37B93" w14:paraId="62A6C3A9" w14:textId="77777777" w:rsidTr="00F703C6">
        <w:trPr>
          <w:jc w:val="center"/>
        </w:trPr>
        <w:tc>
          <w:tcPr>
            <w:tcW w:w="3254" w:type="dxa"/>
            <w:tcBorders>
              <w:top w:val="single" w:sz="4" w:space="0" w:color="auto"/>
            </w:tcBorders>
          </w:tcPr>
          <w:p w14:paraId="06930D41"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SGA A (Gizi Baik/ Normal)</w:t>
            </w:r>
          </w:p>
        </w:tc>
        <w:tc>
          <w:tcPr>
            <w:tcW w:w="1462" w:type="dxa"/>
            <w:tcBorders>
              <w:top w:val="single" w:sz="4" w:space="0" w:color="auto"/>
            </w:tcBorders>
          </w:tcPr>
          <w:p w14:paraId="5270236B"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5</w:t>
            </w:r>
          </w:p>
        </w:tc>
        <w:tc>
          <w:tcPr>
            <w:tcW w:w="1947" w:type="dxa"/>
            <w:tcBorders>
              <w:top w:val="single" w:sz="4" w:space="0" w:color="auto"/>
            </w:tcBorders>
          </w:tcPr>
          <w:p w14:paraId="330BB18A"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25.0%</w:t>
            </w:r>
          </w:p>
        </w:tc>
      </w:tr>
      <w:tr w:rsidR="00E543CA" w:rsidRPr="00A37B93" w14:paraId="42B606BF" w14:textId="77777777" w:rsidTr="00F703C6">
        <w:trPr>
          <w:jc w:val="center"/>
        </w:trPr>
        <w:tc>
          <w:tcPr>
            <w:tcW w:w="3254" w:type="dxa"/>
          </w:tcPr>
          <w:p w14:paraId="32AD2401"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SGA B (Gizi Ringan/ Sedang)</w:t>
            </w:r>
          </w:p>
        </w:tc>
        <w:tc>
          <w:tcPr>
            <w:tcW w:w="1462" w:type="dxa"/>
          </w:tcPr>
          <w:p w14:paraId="374B0CA3"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11</w:t>
            </w:r>
          </w:p>
        </w:tc>
        <w:tc>
          <w:tcPr>
            <w:tcW w:w="1947" w:type="dxa"/>
          </w:tcPr>
          <w:p w14:paraId="55308DA0"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55.0%</w:t>
            </w:r>
          </w:p>
        </w:tc>
      </w:tr>
      <w:tr w:rsidR="00E543CA" w:rsidRPr="00A37B93" w14:paraId="726671B9" w14:textId="77777777" w:rsidTr="00F703C6">
        <w:trPr>
          <w:jc w:val="center"/>
        </w:trPr>
        <w:tc>
          <w:tcPr>
            <w:tcW w:w="3254" w:type="dxa"/>
          </w:tcPr>
          <w:p w14:paraId="5C2D9C23"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SGA C (Gizi Buruk)</w:t>
            </w:r>
          </w:p>
        </w:tc>
        <w:tc>
          <w:tcPr>
            <w:tcW w:w="1462" w:type="dxa"/>
          </w:tcPr>
          <w:p w14:paraId="5CCBC0E2"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4</w:t>
            </w:r>
          </w:p>
        </w:tc>
        <w:tc>
          <w:tcPr>
            <w:tcW w:w="1947" w:type="dxa"/>
          </w:tcPr>
          <w:p w14:paraId="0FB37399"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20.0%</w:t>
            </w:r>
          </w:p>
        </w:tc>
      </w:tr>
      <w:tr w:rsidR="00E543CA" w:rsidRPr="00A37B93" w14:paraId="70803C6F" w14:textId="77777777" w:rsidTr="00F703C6">
        <w:trPr>
          <w:jc w:val="center"/>
        </w:trPr>
        <w:tc>
          <w:tcPr>
            <w:tcW w:w="3254" w:type="dxa"/>
            <w:tcBorders>
              <w:bottom w:val="single" w:sz="4" w:space="0" w:color="auto"/>
            </w:tcBorders>
          </w:tcPr>
          <w:p w14:paraId="5F25A870"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Total</w:t>
            </w:r>
          </w:p>
        </w:tc>
        <w:tc>
          <w:tcPr>
            <w:tcW w:w="1462" w:type="dxa"/>
            <w:tcBorders>
              <w:bottom w:val="single" w:sz="4" w:space="0" w:color="auto"/>
            </w:tcBorders>
          </w:tcPr>
          <w:p w14:paraId="42BBAF9F"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20</w:t>
            </w:r>
          </w:p>
        </w:tc>
        <w:tc>
          <w:tcPr>
            <w:tcW w:w="1947" w:type="dxa"/>
            <w:tcBorders>
              <w:bottom w:val="single" w:sz="4" w:space="0" w:color="auto"/>
            </w:tcBorders>
          </w:tcPr>
          <w:p w14:paraId="354D45EC"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100.0%</w:t>
            </w:r>
          </w:p>
        </w:tc>
      </w:tr>
    </w:tbl>
    <w:p w14:paraId="6EBF8B7B" w14:textId="77777777" w:rsidR="00A37B93" w:rsidRDefault="00E543CA" w:rsidP="006153AD">
      <w:pPr>
        <w:pStyle w:val="NormalWeb"/>
        <w:shd w:val="clear" w:color="auto" w:fill="FFFFFF"/>
        <w:spacing w:before="0" w:beforeAutospacing="0" w:after="0" w:afterAutospacing="0"/>
        <w:ind w:firstLine="720"/>
        <w:jc w:val="both"/>
        <w:rPr>
          <w:color w:val="1F1F1F"/>
          <w:sz w:val="22"/>
          <w:szCs w:val="22"/>
          <w:lang w:val="id-ID"/>
        </w:rPr>
      </w:pPr>
      <w:r w:rsidRPr="006153AD">
        <w:rPr>
          <w:color w:val="1F1F1F"/>
          <w:sz w:val="22"/>
          <w:szCs w:val="22"/>
        </w:rPr>
        <w:t xml:space="preserve">Berdasarkan Tabel 4.1, hasil penilaian status gizi menggunakan </w:t>
      </w:r>
      <w:r w:rsidRPr="006153AD">
        <w:rPr>
          <w:i/>
          <w:iCs/>
          <w:color w:val="1F1F1F"/>
          <w:sz w:val="22"/>
          <w:szCs w:val="22"/>
        </w:rPr>
        <w:t>Subjective Global Assessment</w:t>
      </w:r>
      <w:r w:rsidRPr="006153AD">
        <w:rPr>
          <w:color w:val="1F1F1F"/>
          <w:sz w:val="22"/>
          <w:szCs w:val="22"/>
        </w:rPr>
        <w:t xml:space="preserve"> (SGA) menunjukkan bahwa mayoritas pasien limfoma berada pada kategori SGA B atau gizi ringan/ sedang malnutrisi sebanyak 11 responden (55,0%). Selanjutnya, </w:t>
      </w:r>
      <w:r w:rsidRPr="006153AD">
        <w:rPr>
          <w:color w:val="1F1F1F"/>
          <w:sz w:val="22"/>
          <w:szCs w:val="22"/>
        </w:rPr>
        <w:lastRenderedPageBreak/>
        <w:t>pasien dengan kategori SGA A atau gizi baik sebanyak 5 responden (25</w:t>
      </w:r>
      <w:proofErr w:type="gramStart"/>
      <w:r w:rsidRPr="006153AD">
        <w:rPr>
          <w:color w:val="1F1F1F"/>
          <w:sz w:val="22"/>
          <w:szCs w:val="22"/>
        </w:rPr>
        <w:t>,0</w:t>
      </w:r>
      <w:proofErr w:type="gramEnd"/>
      <w:r w:rsidRPr="006153AD">
        <w:rPr>
          <w:color w:val="1F1F1F"/>
          <w:sz w:val="22"/>
          <w:szCs w:val="22"/>
        </w:rPr>
        <w:t xml:space="preserve">%), sedangkan pasien dengan kategori SGA C atau gizi buruk sebanyak 4 responden (20,0%). </w:t>
      </w:r>
    </w:p>
    <w:p w14:paraId="303C2E4E" w14:textId="77777777" w:rsidR="00A37B93" w:rsidRDefault="00E543CA" w:rsidP="006153AD">
      <w:pPr>
        <w:pStyle w:val="NormalWeb"/>
        <w:shd w:val="clear" w:color="auto" w:fill="FFFFFF"/>
        <w:spacing w:before="0" w:beforeAutospacing="0" w:after="0" w:afterAutospacing="0"/>
        <w:ind w:firstLine="720"/>
        <w:jc w:val="both"/>
        <w:rPr>
          <w:color w:val="1F1F1F"/>
          <w:sz w:val="22"/>
          <w:szCs w:val="22"/>
          <w:lang w:val="id-ID"/>
        </w:rPr>
      </w:pPr>
      <w:r w:rsidRPr="006153AD">
        <w:rPr>
          <w:color w:val="1F1F1F"/>
          <w:sz w:val="22"/>
          <w:szCs w:val="22"/>
        </w:rPr>
        <w:t xml:space="preserve">Pada pasien limfoma, kondisi malnutrisi dapat terjadi akibat peningkatan </w:t>
      </w:r>
      <w:r w:rsidRPr="006153AD">
        <w:rPr>
          <w:i/>
          <w:iCs/>
          <w:color w:val="1F1F1F"/>
          <w:sz w:val="22"/>
          <w:szCs w:val="22"/>
        </w:rPr>
        <w:t>basal metabolic rate</w:t>
      </w:r>
      <w:r w:rsidRPr="006153AD">
        <w:rPr>
          <w:color w:val="1F1F1F"/>
          <w:sz w:val="22"/>
          <w:szCs w:val="22"/>
        </w:rPr>
        <w:t xml:space="preserve"> (BMR) yang dipengaruhi oleh proses inflamasi dan aktivitas sel kanker </w:t>
      </w:r>
      <w:r w:rsidRPr="006153AD">
        <w:rPr>
          <w:color w:val="1F1F1F"/>
          <w:sz w:val="22"/>
          <w:szCs w:val="22"/>
        </w:rPr>
        <w:fldChar w:fldCharType="begin" w:fldLock="1"/>
      </w:r>
      <w:r w:rsidRPr="006153AD">
        <w:rPr>
          <w:color w:val="1F1F1F"/>
          <w:sz w:val="22"/>
          <w:szCs w:val="22"/>
        </w:rPr>
        <w:instrText>ADDIN CSL_CITATION {"citationItems":[{"id":"ITEM-1","itemData":{"author":[{"dropping-particle":"","family":"Wu","given":"Jianbo","non-dropping-particle":"","parse-names":false,"suffix":""},{"dropping-particle":"","family":"Meng","given":"Fuqing","non-dropping-particle":"","parse-names":false,"suffix":""},{"dropping-particle":"","family":"Ran","given":"Danyang","non-dropping-particle":"","parse-names":false,"suffix":""},{"dropping-particle":"","family":"Song","given":"Yalong","non-dropping-particle":"","parse-names":false,"suffix":""},{"dropping-particle":"","family":"Dang","given":"Yunkun","non-dropping-particle":"","parse-names":false,"suffix":""},{"dropping-particle":"","family":"Lai","given":"Fan","non-dropping-particle":"","parse-names":false,"suffix":""},{"dropping-particle":"","family":"Yang","given":"Longyan","non-dropping-particle":"","parse-names":false,"suffix":""},{"dropping-particle":"","family":"Deng","given":"Mi","non-dropping-particle":"","parse-names":false,"suffix":""},{"dropping-particle":"","family":"Song","given":"Yuqin","non-dropping-particle":"","parse-names":false,"suffix":""},{"dropping-particle":"","family":"Zhu","given":"Jun","non-dropping-particle":"","parse-names":false,"suffix":""}],"id":"ITEM-1","issued":{"date-parts":[["2023"]]},"title":"The Metabolism and Immune Environment in Diffuse Large B-Cell Lymphoma","type":"article-journal"},"uris":["http://www.mendeley.com/documents/?uuid=142320b3-acff-46f2-975a-cafb151ddc05"]}],"mendeley":{"formattedCitation":"(Wu et al., 2023)","plainTextFormattedCitation":"(Wu et al., 2023)","previouslyFormattedCitation":"(Wu et al., 2023)"},"properties":{"noteIndex":0},"schema":"https://github.com/citation-style-language/schema/raw/master/csl-citation.json"}</w:instrText>
      </w:r>
      <w:r w:rsidRPr="006153AD">
        <w:rPr>
          <w:color w:val="1F1F1F"/>
          <w:sz w:val="22"/>
          <w:szCs w:val="22"/>
        </w:rPr>
        <w:fldChar w:fldCharType="separate"/>
      </w:r>
      <w:r w:rsidRPr="006153AD">
        <w:rPr>
          <w:noProof/>
          <w:color w:val="1F1F1F"/>
          <w:sz w:val="22"/>
          <w:szCs w:val="22"/>
        </w:rPr>
        <w:t>(Wu et al., 2023)</w:t>
      </w:r>
      <w:r w:rsidRPr="006153AD">
        <w:rPr>
          <w:color w:val="1F1F1F"/>
          <w:sz w:val="22"/>
          <w:szCs w:val="22"/>
        </w:rPr>
        <w:fldChar w:fldCharType="end"/>
      </w:r>
      <w:r w:rsidRPr="006153AD">
        <w:rPr>
          <w:color w:val="1F1F1F"/>
          <w:sz w:val="22"/>
          <w:szCs w:val="22"/>
        </w:rPr>
        <w:t xml:space="preserve">. Limfoma menyebabkan tubuh memerlukan energi lebih tinggi sehingga terjadi peningkatan metabolisme tubuh,  kondisi ini dapat menyebabkan cadangan energi dan protein tubuh lebih cepat digunakan, terutama apabila tidak diimbangi dengan asupan nutrisi yang adekuat </w:t>
      </w:r>
      <w:r w:rsidRPr="006153AD">
        <w:rPr>
          <w:color w:val="1F1F1F"/>
          <w:sz w:val="22"/>
          <w:szCs w:val="22"/>
        </w:rPr>
        <w:fldChar w:fldCharType="begin" w:fldLock="1"/>
      </w:r>
      <w:r w:rsidRPr="006153AD">
        <w:rPr>
          <w:color w:val="1F1F1F"/>
          <w:sz w:val="22"/>
          <w:szCs w:val="22"/>
        </w:rPr>
        <w:instrText>ADDIN CSL_CITATION {"citationItems":[{"id":"ITEM-1","itemData":{"ISBN":"1919668756","author":[{"dropping-particle":"","family":"Pang","given":"Yuyang","non-dropping-particle":"","parse-names":false,"suffix":""},{"dropping-particle":"","family":"Lu","given":"Tingxun","non-dropping-particle":"","parse-names":false,"suffix":""},{"dropping-particle":"","family":"Xu-monette","given":"Zijun Y","non-dropping-particle":"","parse-names":false,"suffix":""}],"id":"ITEM-1","issued":{"date-parts":[["2023"]]},"title":"Metabolic Reprogramming and Potential Therapeutic Targets in Lymphoma","type":"book"},"uris":["http://www.mendeley.com/documents/?uuid=e4eda43c-7a97-4b71-81f2-2be878ee6d93"]}],"mendeley":{"formattedCitation":"(Pang et al., 2023)","plainTextFormattedCitation":"(Pang et al., 2023)","previouslyFormattedCitation":"(Pang et al., 2023)"},"properties":{"noteIndex":0},"schema":"https://github.com/citation-style-language/schema/raw/master/csl-citation.json"}</w:instrText>
      </w:r>
      <w:r w:rsidRPr="006153AD">
        <w:rPr>
          <w:color w:val="1F1F1F"/>
          <w:sz w:val="22"/>
          <w:szCs w:val="22"/>
        </w:rPr>
        <w:fldChar w:fldCharType="separate"/>
      </w:r>
      <w:r w:rsidRPr="006153AD">
        <w:rPr>
          <w:noProof/>
          <w:color w:val="1F1F1F"/>
          <w:sz w:val="22"/>
          <w:szCs w:val="22"/>
        </w:rPr>
        <w:t>(Pang et al., 2023)</w:t>
      </w:r>
      <w:r w:rsidRPr="006153AD">
        <w:rPr>
          <w:color w:val="1F1F1F"/>
          <w:sz w:val="22"/>
          <w:szCs w:val="22"/>
        </w:rPr>
        <w:fldChar w:fldCharType="end"/>
      </w:r>
      <w:r w:rsidRPr="006153AD">
        <w:rPr>
          <w:color w:val="1F1F1F"/>
          <w:sz w:val="22"/>
          <w:szCs w:val="22"/>
        </w:rPr>
        <w:t xml:space="preserve">. </w:t>
      </w:r>
    </w:p>
    <w:p w14:paraId="35FAB82B" w14:textId="77777777" w:rsidR="00A37B93" w:rsidRDefault="00E543CA" w:rsidP="006153AD">
      <w:pPr>
        <w:pStyle w:val="NormalWeb"/>
        <w:shd w:val="clear" w:color="auto" w:fill="FFFFFF"/>
        <w:spacing w:before="0" w:beforeAutospacing="0" w:after="0" w:afterAutospacing="0"/>
        <w:ind w:firstLine="720"/>
        <w:jc w:val="both"/>
        <w:rPr>
          <w:color w:val="1F1F1F"/>
          <w:sz w:val="22"/>
          <w:szCs w:val="22"/>
          <w:lang w:val="id-ID"/>
        </w:rPr>
      </w:pPr>
      <w:r w:rsidRPr="006153AD">
        <w:rPr>
          <w:color w:val="1F1F1F"/>
          <w:sz w:val="22"/>
          <w:szCs w:val="22"/>
        </w:rPr>
        <w:t xml:space="preserve">Selain itu, gejala limfoma seperti demam berkepanjangan, keringat malam, kelelahan, mual, dan penurunan nafsu makan turut berkontribusi terhadap penurunan status gizi pasien </w:t>
      </w:r>
      <w:r w:rsidRPr="006153AD">
        <w:rPr>
          <w:color w:val="1F1F1F"/>
          <w:sz w:val="22"/>
          <w:szCs w:val="22"/>
        </w:rPr>
        <w:fldChar w:fldCharType="begin" w:fldLock="1"/>
      </w:r>
      <w:r w:rsidRPr="006153AD">
        <w:rPr>
          <w:color w:val="1F1F1F"/>
          <w:sz w:val="22"/>
          <w:szCs w:val="22"/>
        </w:rPr>
        <w:instrText>ADDIN CSL_CITATION {"citationItems":[{"id":"ITEM-1","itemData":{"author":[{"dropping-particle":"","family":"Tadjoedin","given":"Hilman","non-dropping-particle":"","parse-names":false,"suffix":""}],"id":"ITEM-1","issue":"January 2017","issued":{"date-parts":[["2024"]]},"page":"466-470","title":"Adult Hodgkin ’ s Lymphoma in Indonesian National Cancer Center Hospital : An Observational Study","type":"article-journal"},"uris":["http://www.mendeley.com/documents/?uuid=9526cff3-5c2f-416b-ba03-5be1eb583e36"]}],"mendeley":{"formattedCitation":"(Tadjoedin, 2024)","plainTextFormattedCitation":"(Tadjoedin, 2024)","previouslyFormattedCitation":"(Tadjoedin, 2024)"},"properties":{"noteIndex":0},"schema":"https://github.com/citation-style-language/schema/raw/master/csl-citation.json"}</w:instrText>
      </w:r>
      <w:r w:rsidRPr="006153AD">
        <w:rPr>
          <w:color w:val="1F1F1F"/>
          <w:sz w:val="22"/>
          <w:szCs w:val="22"/>
        </w:rPr>
        <w:fldChar w:fldCharType="separate"/>
      </w:r>
      <w:r w:rsidRPr="006153AD">
        <w:rPr>
          <w:noProof/>
          <w:color w:val="1F1F1F"/>
          <w:sz w:val="22"/>
          <w:szCs w:val="22"/>
        </w:rPr>
        <w:t>(Tadjoedin, 2024)</w:t>
      </w:r>
      <w:r w:rsidRPr="006153AD">
        <w:rPr>
          <w:color w:val="1F1F1F"/>
          <w:sz w:val="22"/>
          <w:szCs w:val="22"/>
        </w:rPr>
        <w:fldChar w:fldCharType="end"/>
      </w:r>
      <w:r w:rsidRPr="006153AD">
        <w:rPr>
          <w:color w:val="1F1F1F"/>
          <w:sz w:val="22"/>
          <w:szCs w:val="22"/>
        </w:rPr>
        <w:t xml:space="preserve">. Kondisi </w:t>
      </w:r>
      <w:r w:rsidRPr="006153AD">
        <w:rPr>
          <w:i/>
          <w:iCs/>
          <w:color w:val="1F1F1F"/>
          <w:sz w:val="22"/>
          <w:szCs w:val="22"/>
        </w:rPr>
        <w:t xml:space="preserve">cachexia </w:t>
      </w:r>
      <w:r w:rsidRPr="006153AD">
        <w:rPr>
          <w:color w:val="1F1F1F"/>
          <w:sz w:val="22"/>
          <w:szCs w:val="22"/>
        </w:rPr>
        <w:t xml:space="preserve">pada pasien kanker ditandai dengan anoreksia, penurunan berat badan, kehilangan massa otot, gangguan metabolisme nutrisi, serta peningkatan kebutuhan basal tubuh sehingga memperburuk status gizi pasien kanker </w:t>
      </w:r>
      <w:r w:rsidRPr="006153AD">
        <w:rPr>
          <w:color w:val="1F1F1F"/>
          <w:sz w:val="22"/>
          <w:szCs w:val="22"/>
        </w:rPr>
        <w:fldChar w:fldCharType="begin" w:fldLock="1"/>
      </w:r>
      <w:r w:rsidRPr="006153AD">
        <w:rPr>
          <w:color w:val="1F1F1F"/>
          <w:sz w:val="22"/>
          <w:szCs w:val="22"/>
        </w:rPr>
        <w:instrText>ADDIN CSL_CITATION {"citationItems":[{"id":"ITEM-1","itemData":{"DOI":"10.1186/s13045-023-01454-0","ISSN":"1756-8722","author":[{"dropping-particle":"","family":"Setiawan","given":"Tania","non-dropping-particle":"","parse-names":false,"suffix":""},{"dropping-particle":"","family":"Sari","given":"Ita Novita","non-dropping-particle":"","parse-names":false,"suffix":""},{"dropping-particle":"","family":"Wijaya","given":"Yoseph Toni","non-dropping-particle":"","parse-names":false,"suffix":""},{"dropping-particle":"","family":"Julianto","given":"Nadya Marcelina","non-dropping-particle":"","parse-names":false,"suffix":""},{"dropping-particle":"","family":"Muhammad","given":"Jabir Aliyu","non-dropping-particle":"","parse-names":false,"suffix":""},{"dropping-particle":"","family":"Lee","given":"Hyeok","non-dropping-particle":"","parse-names":false,"suffix":""},{"dropping-particle":"","family":"Chae","given":"Ji Heon","non-dropping-particle":"","parse-names":false,"suffix":""},{"dropping-particle":"","family":"Kwon","given":"Hyog Young","non-dropping-particle":"","parse-names":false,"suffix":""}],"container-title":"Journal of Hematology &amp; Oncology","id":"ITEM-1","issued":{"date-parts":[["2023"]]},"page":"1-26","publisher":"BioMed Central","title":"Cancer cachexia : molecular mechanisms and treatment strategies","type":"article-journal"},"uris":["http://www.mendeley.com/documents/?uuid=90b985fc-5351-481d-842f-0534fb61e568"]}],"mendeley":{"formattedCitation":"(Setiawan et al., 2023)","plainTextFormattedCitation":"(Setiawan et al., 2023)","previouslyFormattedCitation":"(Setiawan et al., 2023)"},"properties":{"noteIndex":0},"schema":"https://github.com/citation-style-language/schema/raw/master/csl-citation.json"}</w:instrText>
      </w:r>
      <w:r w:rsidRPr="006153AD">
        <w:rPr>
          <w:color w:val="1F1F1F"/>
          <w:sz w:val="22"/>
          <w:szCs w:val="22"/>
        </w:rPr>
        <w:fldChar w:fldCharType="separate"/>
      </w:r>
      <w:r w:rsidRPr="006153AD">
        <w:rPr>
          <w:noProof/>
          <w:color w:val="1F1F1F"/>
          <w:sz w:val="22"/>
          <w:szCs w:val="22"/>
        </w:rPr>
        <w:t>(Setiawan et al., 2023)</w:t>
      </w:r>
      <w:r w:rsidRPr="006153AD">
        <w:rPr>
          <w:color w:val="1F1F1F"/>
          <w:sz w:val="22"/>
          <w:szCs w:val="22"/>
        </w:rPr>
        <w:fldChar w:fldCharType="end"/>
      </w:r>
      <w:r w:rsidRPr="006153AD">
        <w:rPr>
          <w:color w:val="1F1F1F"/>
          <w:sz w:val="22"/>
          <w:szCs w:val="22"/>
        </w:rPr>
        <w:t xml:space="preserve">. </w:t>
      </w:r>
    </w:p>
    <w:p w14:paraId="108DE7B5" w14:textId="77777777" w:rsidR="00A37B93" w:rsidRDefault="00E543CA" w:rsidP="006153AD">
      <w:pPr>
        <w:pStyle w:val="NormalWeb"/>
        <w:shd w:val="clear" w:color="auto" w:fill="FFFFFF"/>
        <w:spacing w:before="0" w:beforeAutospacing="0" w:after="0" w:afterAutospacing="0"/>
        <w:ind w:firstLine="720"/>
        <w:jc w:val="both"/>
        <w:rPr>
          <w:color w:val="1F1F1F"/>
          <w:sz w:val="22"/>
          <w:szCs w:val="22"/>
          <w:lang w:val="id-ID"/>
        </w:rPr>
      </w:pPr>
      <w:r w:rsidRPr="006153AD">
        <w:rPr>
          <w:color w:val="1F1F1F"/>
          <w:sz w:val="22"/>
          <w:szCs w:val="22"/>
        </w:rPr>
        <w:t xml:space="preserve">Gangguan metabolisme pada pasien limfoma juga berdampak terhadap terjadinya kekurangan gizi karena tubuh mengalami peningkatan pemecahan protein dan lemak untuk memenuhi kebutuhan energi </w:t>
      </w:r>
      <w:r w:rsidRPr="006153AD">
        <w:rPr>
          <w:color w:val="1F1F1F"/>
          <w:sz w:val="22"/>
          <w:szCs w:val="22"/>
        </w:rPr>
        <w:fldChar w:fldCharType="begin" w:fldLock="1"/>
      </w:r>
      <w:r w:rsidRPr="006153AD">
        <w:rPr>
          <w:color w:val="1F1F1F"/>
          <w:sz w:val="22"/>
          <w:szCs w:val="22"/>
        </w:rPr>
        <w:instrText>ADDIN CSL_CITATION {"citationItems":[{"id":"ITEM-1","itemData":{"DOI":"10.1177/15353702221087962","author":[{"dropping-particle":"","family":"Hegde","given":"Mangala","non-dropping-particle":"","parse-names":false,"suffix":""},{"dropping-particle":"","family":"Daimary","given":"Uzini Devi","non-dropping-particle":"","parse-names":false,"suffix":""},{"dropping-particle":"","family":"Girisa","given":"Sosmitha","non-dropping-particle":"","parse-names":false,"suffix":""},{"dropping-particle":"","family":"Kumar","given":"Aviral","non-dropping-particle":"","parse-names":false,"suffix":""},{"dropping-particle":"","family":"Kunnumakkara","given":"Ajaikumar B","non-dropping-particle":"","parse-names":false,"suffix":""}],"id":"ITEM-1","issued":{"date-parts":[["2022"]]},"page":"713-733","title":"Minireview Tumor cell anabolism and host tissue catabolism-energetic inefficiency during cancer cachexia","type":"article-journal"},"uris":["http://www.mendeley.com/documents/?uuid=001deb1c-8331-408c-9597-8d3b84975c9c"]}],"mendeley":{"formattedCitation":"(Hegde et al., 2022)","plainTextFormattedCitation":"(Hegde et al., 2022)","previouslyFormattedCitation":"(Hegde et al., 2022)"},"properties":{"noteIndex":0},"schema":"https://github.com/citation-style-language/schema/raw/master/csl-citation.json"}</w:instrText>
      </w:r>
      <w:r w:rsidRPr="006153AD">
        <w:rPr>
          <w:color w:val="1F1F1F"/>
          <w:sz w:val="22"/>
          <w:szCs w:val="22"/>
        </w:rPr>
        <w:fldChar w:fldCharType="separate"/>
      </w:r>
      <w:r w:rsidRPr="006153AD">
        <w:rPr>
          <w:noProof/>
          <w:color w:val="1F1F1F"/>
          <w:sz w:val="22"/>
          <w:szCs w:val="22"/>
        </w:rPr>
        <w:t>(Hegde et al., 2022)</w:t>
      </w:r>
      <w:r w:rsidRPr="006153AD">
        <w:rPr>
          <w:color w:val="1F1F1F"/>
          <w:sz w:val="22"/>
          <w:szCs w:val="22"/>
        </w:rPr>
        <w:fldChar w:fldCharType="end"/>
      </w:r>
      <w:r w:rsidRPr="006153AD">
        <w:rPr>
          <w:color w:val="1F1F1F"/>
          <w:sz w:val="22"/>
          <w:szCs w:val="22"/>
        </w:rPr>
        <w:t xml:space="preserve">. Apabila kondisi ini berlangsung terus-menerus, pasien dapat mengalami penurunan berat badan, kehilangan massa otot, dan kelemahan fisik </w:t>
      </w:r>
      <w:r w:rsidRPr="006153AD">
        <w:rPr>
          <w:color w:val="1F1F1F"/>
          <w:sz w:val="22"/>
          <w:szCs w:val="22"/>
        </w:rPr>
        <w:fldChar w:fldCharType="begin" w:fldLock="1"/>
      </w:r>
      <w:r w:rsidRPr="006153AD">
        <w:rPr>
          <w:color w:val="1F1F1F"/>
          <w:sz w:val="22"/>
          <w:szCs w:val="22"/>
        </w:rPr>
        <w:instrText>ADDIN CSL_CITATION {"citationItems":[{"id":"ITEM-1","itemData":{"author":[{"dropping-particle":"","family":"Campelj","given":"Dean G","non-dropping-particle":"","parse-names":false,"suffix":""},{"dropping-particle":"","family":"Goodman","given":"Craig A","non-dropping-particle":"","parse-names":false,"suffix":""}],"id":"ITEM-1","issued":{"date-parts":[["2021"]]},"title":"Chemotherapy-Induced Myopathy : The Dark Side of the Cachexia Sphere","type":"article-journal"},"uris":["http://www.mendeley.com/documents/?uuid=4ba69144-a265-4520-b0a9-1410bb754e0c"]}],"mendeley":{"formattedCitation":"(Campelj &amp; Goodman, 2021)","plainTextFormattedCitation":"(Campelj &amp; Goodman, 2021)","previouslyFormattedCitation":"(Campelj &amp; Goodman, 2021)"},"properties":{"noteIndex":0},"schema":"https://github.com/citation-style-language/schema/raw/master/csl-citation.json"}</w:instrText>
      </w:r>
      <w:r w:rsidRPr="006153AD">
        <w:rPr>
          <w:color w:val="1F1F1F"/>
          <w:sz w:val="22"/>
          <w:szCs w:val="22"/>
        </w:rPr>
        <w:fldChar w:fldCharType="separate"/>
      </w:r>
      <w:r w:rsidRPr="006153AD">
        <w:rPr>
          <w:noProof/>
          <w:color w:val="1F1F1F"/>
          <w:sz w:val="22"/>
          <w:szCs w:val="22"/>
        </w:rPr>
        <w:t>(Campelj &amp; Goodman, 2021)</w:t>
      </w:r>
      <w:r w:rsidRPr="006153AD">
        <w:rPr>
          <w:color w:val="1F1F1F"/>
          <w:sz w:val="22"/>
          <w:szCs w:val="22"/>
        </w:rPr>
        <w:fldChar w:fldCharType="end"/>
      </w:r>
      <w:r w:rsidRPr="006153AD">
        <w:rPr>
          <w:color w:val="1F1F1F"/>
          <w:sz w:val="22"/>
          <w:szCs w:val="22"/>
        </w:rPr>
        <w:t xml:space="preserve">. </w:t>
      </w:r>
    </w:p>
    <w:p w14:paraId="4E5E708A" w14:textId="2EFECE44" w:rsidR="00FF4CE8" w:rsidRPr="006153AD" w:rsidRDefault="00E543CA" w:rsidP="006153AD">
      <w:pPr>
        <w:pStyle w:val="NormalWeb"/>
        <w:shd w:val="clear" w:color="auto" w:fill="FFFFFF"/>
        <w:spacing w:before="0" w:beforeAutospacing="0" w:after="0" w:afterAutospacing="0"/>
        <w:ind w:firstLine="720"/>
        <w:jc w:val="both"/>
        <w:rPr>
          <w:color w:val="1F1F1F"/>
          <w:sz w:val="22"/>
          <w:szCs w:val="22"/>
        </w:rPr>
      </w:pPr>
      <w:r w:rsidRPr="006153AD">
        <w:rPr>
          <w:color w:val="1F1F1F"/>
          <w:sz w:val="22"/>
          <w:szCs w:val="22"/>
        </w:rPr>
        <w:t xml:space="preserve">Penelitian menunjukkan bahwa pasien dengan keganasan hematologi seperti limfoma memiliki risiko tinggi mengalami cachexia akibat proses inflamasi kronis dan peningkatan kebutuhan energi tubuh, hasil penelitian ini sejalan dengan temuan pada domain berat badan, asupan makan, dan pemeriksaan fisik yang menunjukkan mayoritas responden berada pada kategori gizi ringan/sedang. </w:t>
      </w:r>
      <w:proofErr w:type="gramStart"/>
      <w:r w:rsidRPr="006153AD">
        <w:rPr>
          <w:color w:val="1F1F1F"/>
          <w:sz w:val="22"/>
          <w:szCs w:val="22"/>
        </w:rPr>
        <w:t xml:space="preserve">Dengan demikian, hasil penelitian ini menunjukkan bahwa pasien limfoma memiliki risiko tinggi mengalami malnutrisi akibat kombinasi antara peningkatan kebutuhan metabolik, penurunan asupan makan, dan gejala penyakit yang dialami sehingga diperlukan penilaian status gizi secara berkala menggunakan </w:t>
      </w:r>
      <w:r w:rsidRPr="006153AD">
        <w:rPr>
          <w:i/>
          <w:iCs/>
          <w:color w:val="1F1F1F"/>
          <w:sz w:val="22"/>
          <w:szCs w:val="22"/>
        </w:rPr>
        <w:t>Subjective Global Assessment</w:t>
      </w:r>
      <w:r w:rsidRPr="006153AD">
        <w:rPr>
          <w:color w:val="1F1F1F"/>
          <w:sz w:val="22"/>
          <w:szCs w:val="22"/>
        </w:rPr>
        <w:t xml:space="preserve"> (SGA).</w:t>
      </w:r>
      <w:proofErr w:type="gramEnd"/>
    </w:p>
    <w:p w14:paraId="66152001" w14:textId="77777777" w:rsidR="00FF4CE8" w:rsidRPr="006153AD" w:rsidRDefault="00FF4CE8" w:rsidP="006153AD">
      <w:pPr>
        <w:pStyle w:val="NormalWeb"/>
        <w:shd w:val="clear" w:color="auto" w:fill="FFFFFF"/>
        <w:spacing w:before="0" w:beforeAutospacing="0" w:after="0" w:afterAutospacing="0"/>
        <w:ind w:firstLine="720"/>
        <w:jc w:val="both"/>
        <w:rPr>
          <w:color w:val="1F1F1F"/>
          <w:sz w:val="22"/>
          <w:szCs w:val="22"/>
        </w:rPr>
      </w:pPr>
    </w:p>
    <w:p w14:paraId="1C400D02" w14:textId="77777777" w:rsidR="00E543CA" w:rsidRPr="006153AD" w:rsidRDefault="00E543CA" w:rsidP="006153AD">
      <w:pPr>
        <w:pStyle w:val="Caption"/>
        <w:keepNext/>
        <w:spacing w:after="0"/>
        <w:jc w:val="center"/>
        <w:rPr>
          <w:rFonts w:ascii="Times New Roman" w:hAnsi="Times New Roman"/>
          <w:i w:val="0"/>
          <w:iCs w:val="0"/>
          <w:color w:val="auto"/>
          <w:sz w:val="22"/>
          <w:szCs w:val="22"/>
        </w:rPr>
      </w:pPr>
      <w:bookmarkStart w:id="2" w:name="_Toc225836266"/>
      <w:r w:rsidRPr="006153AD">
        <w:rPr>
          <w:rFonts w:ascii="Times New Roman" w:hAnsi="Times New Roman"/>
          <w:i w:val="0"/>
          <w:iCs w:val="0"/>
          <w:color w:val="auto"/>
          <w:sz w:val="22"/>
          <w:szCs w:val="22"/>
        </w:rPr>
        <w:t xml:space="preserve">Tabel </w:t>
      </w:r>
      <w:r w:rsidRPr="006153AD">
        <w:rPr>
          <w:rFonts w:ascii="Times New Roman" w:hAnsi="Times New Roman"/>
          <w:i w:val="0"/>
          <w:iCs w:val="0"/>
          <w:color w:val="auto"/>
          <w:sz w:val="22"/>
          <w:szCs w:val="22"/>
        </w:rPr>
        <w:fldChar w:fldCharType="begin"/>
      </w:r>
      <w:r w:rsidRPr="006153AD">
        <w:rPr>
          <w:rFonts w:ascii="Times New Roman" w:hAnsi="Times New Roman"/>
          <w:i w:val="0"/>
          <w:iCs w:val="0"/>
          <w:color w:val="auto"/>
          <w:sz w:val="22"/>
          <w:szCs w:val="22"/>
        </w:rPr>
        <w:instrText xml:space="preserve"> STYLEREF 1 \s </w:instrText>
      </w:r>
      <w:r w:rsidRPr="006153AD">
        <w:rPr>
          <w:rFonts w:ascii="Times New Roman" w:hAnsi="Times New Roman"/>
          <w:i w:val="0"/>
          <w:iCs w:val="0"/>
          <w:color w:val="auto"/>
          <w:sz w:val="22"/>
          <w:szCs w:val="22"/>
        </w:rPr>
        <w:fldChar w:fldCharType="separate"/>
      </w:r>
      <w:r w:rsidR="00D22FF3">
        <w:rPr>
          <w:rFonts w:ascii="Times New Roman" w:hAnsi="Times New Roman"/>
          <w:b/>
          <w:bCs/>
          <w:i w:val="0"/>
          <w:iCs w:val="0"/>
          <w:noProof/>
          <w:color w:val="auto"/>
          <w:sz w:val="22"/>
          <w:szCs w:val="22"/>
          <w:lang w:val="en-US"/>
        </w:rPr>
        <w:t>Error! No text of specified style in document.</w:t>
      </w:r>
      <w:r w:rsidRPr="006153AD">
        <w:rPr>
          <w:rFonts w:ascii="Times New Roman" w:hAnsi="Times New Roman"/>
          <w:i w:val="0"/>
          <w:iCs w:val="0"/>
          <w:color w:val="auto"/>
          <w:sz w:val="22"/>
          <w:szCs w:val="22"/>
        </w:rPr>
        <w:fldChar w:fldCharType="end"/>
      </w:r>
      <w:r w:rsidRPr="006153AD">
        <w:rPr>
          <w:rFonts w:ascii="Times New Roman" w:hAnsi="Times New Roman"/>
          <w:i w:val="0"/>
          <w:iCs w:val="0"/>
          <w:color w:val="auto"/>
          <w:sz w:val="22"/>
          <w:szCs w:val="22"/>
        </w:rPr>
        <w:t>.2 Distribusi Demografi (n=20)</w:t>
      </w:r>
      <w:bookmarkEnd w:id="2"/>
    </w:p>
    <w:tbl>
      <w:tblPr>
        <w:tblStyle w:val="TableGrid"/>
        <w:tblW w:w="3258" w:type="dxa"/>
        <w:jc w:val="center"/>
        <w:tblBorders>
          <w:left w:val="none" w:sz="0" w:space="0" w:color="auto"/>
          <w:bottom w:val="none" w:sz="0" w:space="0" w:color="auto"/>
          <w:right w:val="none" w:sz="0" w:space="0" w:color="auto"/>
        </w:tblBorders>
        <w:tblLook w:val="04A0" w:firstRow="1" w:lastRow="0" w:firstColumn="1" w:lastColumn="0" w:noHBand="0" w:noVBand="1"/>
      </w:tblPr>
      <w:tblGrid>
        <w:gridCol w:w="1461"/>
        <w:gridCol w:w="1072"/>
        <w:gridCol w:w="833"/>
      </w:tblGrid>
      <w:tr w:rsidR="00E543CA" w:rsidRPr="00A37B93" w14:paraId="16FFF204" w14:textId="77777777" w:rsidTr="00FD47AD">
        <w:trPr>
          <w:trHeight w:val="195"/>
          <w:tblHeader/>
          <w:jc w:val="center"/>
        </w:trPr>
        <w:tc>
          <w:tcPr>
            <w:tcW w:w="1425" w:type="dxa"/>
            <w:tcBorders>
              <w:top w:val="single" w:sz="4" w:space="0" w:color="auto"/>
              <w:bottom w:val="single" w:sz="4" w:space="0" w:color="auto"/>
              <w:right w:val="nil"/>
            </w:tcBorders>
          </w:tcPr>
          <w:p w14:paraId="603FBDA0" w14:textId="77777777" w:rsidR="00E543CA" w:rsidRPr="00A37B93" w:rsidRDefault="00E543CA" w:rsidP="006153AD">
            <w:pPr>
              <w:jc w:val="center"/>
              <w:rPr>
                <w:rFonts w:ascii="Times New Roman" w:hAnsi="Times New Roman"/>
                <w:b/>
                <w:lang w:val="id-ID"/>
              </w:rPr>
            </w:pPr>
            <w:r w:rsidRPr="00A37B93">
              <w:rPr>
                <w:rFonts w:ascii="Times New Roman" w:hAnsi="Times New Roman"/>
                <w:b/>
                <w:lang w:val="id-ID"/>
              </w:rPr>
              <w:t>Data Demografi</w:t>
            </w:r>
          </w:p>
        </w:tc>
        <w:tc>
          <w:tcPr>
            <w:tcW w:w="1036" w:type="dxa"/>
            <w:tcBorders>
              <w:top w:val="single" w:sz="4" w:space="0" w:color="auto"/>
              <w:left w:val="nil"/>
              <w:bottom w:val="single" w:sz="4" w:space="0" w:color="auto"/>
              <w:right w:val="nil"/>
            </w:tcBorders>
            <w:vAlign w:val="center"/>
          </w:tcPr>
          <w:p w14:paraId="085A80F0" w14:textId="77777777" w:rsidR="00E543CA" w:rsidRPr="00A37B93" w:rsidRDefault="00E543CA" w:rsidP="006153AD">
            <w:pPr>
              <w:jc w:val="center"/>
              <w:rPr>
                <w:rFonts w:ascii="Times New Roman" w:hAnsi="Times New Roman"/>
                <w:b/>
                <w:lang w:val="id-ID"/>
              </w:rPr>
            </w:pPr>
            <w:r w:rsidRPr="00A37B93">
              <w:rPr>
                <w:rFonts w:ascii="Times New Roman" w:hAnsi="Times New Roman"/>
                <w:b/>
                <w:lang w:val="id-ID"/>
              </w:rPr>
              <w:t>Frekuensi</w:t>
            </w:r>
          </w:p>
        </w:tc>
        <w:tc>
          <w:tcPr>
            <w:tcW w:w="797" w:type="dxa"/>
            <w:tcBorders>
              <w:top w:val="single" w:sz="4" w:space="0" w:color="auto"/>
              <w:left w:val="nil"/>
              <w:bottom w:val="single" w:sz="4" w:space="0" w:color="auto"/>
            </w:tcBorders>
            <w:vAlign w:val="center"/>
          </w:tcPr>
          <w:p w14:paraId="13113A8D" w14:textId="77777777" w:rsidR="00E543CA" w:rsidRPr="00A37B93" w:rsidRDefault="00E543CA" w:rsidP="006153AD">
            <w:pPr>
              <w:jc w:val="center"/>
              <w:rPr>
                <w:rFonts w:ascii="Times New Roman" w:hAnsi="Times New Roman"/>
                <w:b/>
                <w:lang w:val="id-ID"/>
              </w:rPr>
            </w:pPr>
            <w:r w:rsidRPr="00A37B93">
              <w:rPr>
                <w:rFonts w:ascii="Times New Roman" w:hAnsi="Times New Roman"/>
                <w:b/>
                <w:lang w:val="id-ID"/>
              </w:rPr>
              <w:t>%</w:t>
            </w:r>
          </w:p>
        </w:tc>
      </w:tr>
      <w:tr w:rsidR="00E543CA" w:rsidRPr="00A37B93" w14:paraId="3DD0B4A1" w14:textId="77777777" w:rsidTr="00FD47AD">
        <w:trPr>
          <w:trHeight w:val="248"/>
          <w:jc w:val="center"/>
        </w:trPr>
        <w:tc>
          <w:tcPr>
            <w:tcW w:w="1425" w:type="dxa"/>
            <w:tcBorders>
              <w:top w:val="single" w:sz="4" w:space="0" w:color="auto"/>
              <w:bottom w:val="nil"/>
              <w:right w:val="nil"/>
            </w:tcBorders>
            <w:vAlign w:val="center"/>
          </w:tcPr>
          <w:p w14:paraId="73F43F2B" w14:textId="77777777" w:rsidR="00E543CA" w:rsidRPr="00A37B93" w:rsidRDefault="00E543CA" w:rsidP="006153AD">
            <w:pPr>
              <w:rPr>
                <w:rFonts w:ascii="Times New Roman" w:hAnsi="Times New Roman"/>
                <w:b/>
                <w:lang w:val="id-ID"/>
              </w:rPr>
            </w:pPr>
            <w:r w:rsidRPr="00A37B93">
              <w:rPr>
                <w:rFonts w:ascii="Times New Roman" w:hAnsi="Times New Roman"/>
                <w:b/>
                <w:lang w:val="id-ID"/>
              </w:rPr>
              <w:t>Usia</w:t>
            </w:r>
          </w:p>
        </w:tc>
        <w:tc>
          <w:tcPr>
            <w:tcW w:w="1036" w:type="dxa"/>
            <w:tcBorders>
              <w:top w:val="single" w:sz="4" w:space="0" w:color="auto"/>
              <w:left w:val="nil"/>
              <w:bottom w:val="nil"/>
              <w:right w:val="nil"/>
            </w:tcBorders>
            <w:vAlign w:val="center"/>
          </w:tcPr>
          <w:p w14:paraId="7C284BE7" w14:textId="77777777" w:rsidR="00E543CA" w:rsidRPr="00A37B93" w:rsidRDefault="00E543CA" w:rsidP="006153AD">
            <w:pPr>
              <w:rPr>
                <w:rFonts w:ascii="Times New Roman" w:hAnsi="Times New Roman"/>
                <w:b/>
                <w:lang w:val="id-ID"/>
              </w:rPr>
            </w:pPr>
          </w:p>
        </w:tc>
        <w:tc>
          <w:tcPr>
            <w:tcW w:w="797" w:type="dxa"/>
            <w:tcBorders>
              <w:top w:val="single" w:sz="4" w:space="0" w:color="auto"/>
              <w:left w:val="nil"/>
              <w:bottom w:val="nil"/>
            </w:tcBorders>
            <w:vAlign w:val="center"/>
          </w:tcPr>
          <w:p w14:paraId="30F4E3B7" w14:textId="77777777" w:rsidR="00E543CA" w:rsidRPr="00A37B93" w:rsidRDefault="00E543CA" w:rsidP="006153AD">
            <w:pPr>
              <w:rPr>
                <w:rFonts w:ascii="Times New Roman" w:hAnsi="Times New Roman"/>
                <w:b/>
                <w:lang w:val="id-ID"/>
              </w:rPr>
            </w:pPr>
          </w:p>
        </w:tc>
      </w:tr>
      <w:tr w:rsidR="00E543CA" w:rsidRPr="00A37B93" w14:paraId="164945D8" w14:textId="77777777" w:rsidTr="00FD47AD">
        <w:trPr>
          <w:trHeight w:val="248"/>
          <w:jc w:val="center"/>
        </w:trPr>
        <w:tc>
          <w:tcPr>
            <w:tcW w:w="1425" w:type="dxa"/>
            <w:tcBorders>
              <w:top w:val="nil"/>
              <w:bottom w:val="nil"/>
              <w:right w:val="nil"/>
            </w:tcBorders>
          </w:tcPr>
          <w:p w14:paraId="0AAE5377" w14:textId="77777777" w:rsidR="00E543CA" w:rsidRPr="00A37B93" w:rsidRDefault="00E543CA" w:rsidP="006153AD">
            <w:pPr>
              <w:rPr>
                <w:rFonts w:ascii="Times New Roman" w:hAnsi="Times New Roman"/>
                <w:lang w:val="id-ID"/>
              </w:rPr>
            </w:pPr>
            <w:r w:rsidRPr="00A37B93">
              <w:rPr>
                <w:rFonts w:ascii="Times New Roman" w:hAnsi="Times New Roman"/>
                <w:lang w:val="id-ID"/>
              </w:rPr>
              <w:t>18-28</w:t>
            </w:r>
          </w:p>
        </w:tc>
        <w:tc>
          <w:tcPr>
            <w:tcW w:w="1036" w:type="dxa"/>
            <w:tcBorders>
              <w:top w:val="nil"/>
              <w:left w:val="nil"/>
              <w:bottom w:val="nil"/>
              <w:right w:val="nil"/>
            </w:tcBorders>
          </w:tcPr>
          <w:p w14:paraId="5CC4C0F0"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4</w:t>
            </w:r>
          </w:p>
        </w:tc>
        <w:tc>
          <w:tcPr>
            <w:tcW w:w="797" w:type="dxa"/>
            <w:tcBorders>
              <w:top w:val="nil"/>
              <w:left w:val="nil"/>
              <w:bottom w:val="nil"/>
            </w:tcBorders>
          </w:tcPr>
          <w:p w14:paraId="032AA6AF"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20.0%</w:t>
            </w:r>
          </w:p>
        </w:tc>
      </w:tr>
      <w:tr w:rsidR="00E543CA" w:rsidRPr="00A37B93" w14:paraId="61E9E0E1" w14:textId="77777777" w:rsidTr="00FD47AD">
        <w:trPr>
          <w:trHeight w:val="248"/>
          <w:jc w:val="center"/>
        </w:trPr>
        <w:tc>
          <w:tcPr>
            <w:tcW w:w="1425" w:type="dxa"/>
            <w:tcBorders>
              <w:top w:val="nil"/>
              <w:bottom w:val="nil"/>
              <w:right w:val="nil"/>
            </w:tcBorders>
          </w:tcPr>
          <w:p w14:paraId="140920C7" w14:textId="77777777" w:rsidR="00E543CA" w:rsidRPr="00A37B93" w:rsidRDefault="00E543CA" w:rsidP="006153AD">
            <w:pPr>
              <w:rPr>
                <w:rFonts w:ascii="Times New Roman" w:hAnsi="Times New Roman"/>
                <w:lang w:val="id-ID"/>
              </w:rPr>
            </w:pPr>
            <w:r w:rsidRPr="00A37B93">
              <w:rPr>
                <w:rFonts w:ascii="Times New Roman" w:hAnsi="Times New Roman"/>
                <w:lang w:val="id-ID"/>
              </w:rPr>
              <w:t>29-38</w:t>
            </w:r>
          </w:p>
        </w:tc>
        <w:tc>
          <w:tcPr>
            <w:tcW w:w="1036" w:type="dxa"/>
            <w:tcBorders>
              <w:top w:val="nil"/>
              <w:left w:val="nil"/>
              <w:bottom w:val="nil"/>
              <w:right w:val="nil"/>
            </w:tcBorders>
          </w:tcPr>
          <w:p w14:paraId="3D3B2A57"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4</w:t>
            </w:r>
          </w:p>
        </w:tc>
        <w:tc>
          <w:tcPr>
            <w:tcW w:w="797" w:type="dxa"/>
            <w:tcBorders>
              <w:top w:val="nil"/>
              <w:left w:val="nil"/>
              <w:bottom w:val="nil"/>
            </w:tcBorders>
          </w:tcPr>
          <w:p w14:paraId="21D4205A"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20.0%</w:t>
            </w:r>
          </w:p>
        </w:tc>
      </w:tr>
      <w:tr w:rsidR="00E543CA" w:rsidRPr="00A37B93" w14:paraId="249491E8" w14:textId="77777777" w:rsidTr="00FD47AD">
        <w:trPr>
          <w:trHeight w:val="248"/>
          <w:jc w:val="center"/>
        </w:trPr>
        <w:tc>
          <w:tcPr>
            <w:tcW w:w="1425" w:type="dxa"/>
            <w:tcBorders>
              <w:top w:val="nil"/>
              <w:bottom w:val="nil"/>
              <w:right w:val="nil"/>
            </w:tcBorders>
          </w:tcPr>
          <w:p w14:paraId="6464FCD1" w14:textId="77777777" w:rsidR="00E543CA" w:rsidRPr="00A37B93" w:rsidRDefault="00E543CA" w:rsidP="006153AD">
            <w:pPr>
              <w:rPr>
                <w:rFonts w:ascii="Times New Roman" w:hAnsi="Times New Roman"/>
                <w:lang w:val="id-ID"/>
              </w:rPr>
            </w:pPr>
            <w:r w:rsidRPr="00A37B93">
              <w:rPr>
                <w:rFonts w:ascii="Times New Roman" w:hAnsi="Times New Roman"/>
                <w:lang w:val="id-ID"/>
              </w:rPr>
              <w:t>39-48</w:t>
            </w:r>
          </w:p>
        </w:tc>
        <w:tc>
          <w:tcPr>
            <w:tcW w:w="1036" w:type="dxa"/>
            <w:tcBorders>
              <w:top w:val="nil"/>
              <w:left w:val="nil"/>
              <w:bottom w:val="nil"/>
              <w:right w:val="nil"/>
            </w:tcBorders>
          </w:tcPr>
          <w:p w14:paraId="1143B90B"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5</w:t>
            </w:r>
          </w:p>
        </w:tc>
        <w:tc>
          <w:tcPr>
            <w:tcW w:w="797" w:type="dxa"/>
            <w:tcBorders>
              <w:top w:val="nil"/>
              <w:left w:val="nil"/>
              <w:bottom w:val="nil"/>
            </w:tcBorders>
          </w:tcPr>
          <w:p w14:paraId="6E1E89AD"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25.0%</w:t>
            </w:r>
          </w:p>
        </w:tc>
      </w:tr>
      <w:tr w:rsidR="00E543CA" w:rsidRPr="00A37B93" w14:paraId="3C925D29" w14:textId="77777777" w:rsidTr="00FD47AD">
        <w:trPr>
          <w:trHeight w:val="248"/>
          <w:jc w:val="center"/>
        </w:trPr>
        <w:tc>
          <w:tcPr>
            <w:tcW w:w="1425" w:type="dxa"/>
            <w:tcBorders>
              <w:top w:val="nil"/>
              <w:bottom w:val="nil"/>
              <w:right w:val="nil"/>
            </w:tcBorders>
          </w:tcPr>
          <w:p w14:paraId="72AE4606" w14:textId="77777777" w:rsidR="00E543CA" w:rsidRPr="00A37B93" w:rsidRDefault="00E543CA" w:rsidP="006153AD">
            <w:pPr>
              <w:rPr>
                <w:rFonts w:ascii="Times New Roman" w:hAnsi="Times New Roman"/>
                <w:lang w:val="id-ID"/>
              </w:rPr>
            </w:pPr>
            <w:r w:rsidRPr="00A37B93">
              <w:rPr>
                <w:rFonts w:ascii="Times New Roman" w:hAnsi="Times New Roman"/>
                <w:lang w:val="id-ID"/>
              </w:rPr>
              <w:t>49-58</w:t>
            </w:r>
          </w:p>
        </w:tc>
        <w:tc>
          <w:tcPr>
            <w:tcW w:w="1036" w:type="dxa"/>
            <w:tcBorders>
              <w:top w:val="nil"/>
              <w:left w:val="nil"/>
              <w:bottom w:val="nil"/>
              <w:right w:val="nil"/>
            </w:tcBorders>
          </w:tcPr>
          <w:p w14:paraId="22C13EBB"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3</w:t>
            </w:r>
          </w:p>
        </w:tc>
        <w:tc>
          <w:tcPr>
            <w:tcW w:w="797" w:type="dxa"/>
            <w:tcBorders>
              <w:top w:val="nil"/>
              <w:left w:val="nil"/>
              <w:bottom w:val="nil"/>
            </w:tcBorders>
          </w:tcPr>
          <w:p w14:paraId="6A904ACC"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15.0%</w:t>
            </w:r>
          </w:p>
        </w:tc>
      </w:tr>
      <w:tr w:rsidR="00E543CA" w:rsidRPr="00A37B93" w14:paraId="328D7EFE" w14:textId="77777777" w:rsidTr="00FD47AD">
        <w:trPr>
          <w:trHeight w:val="248"/>
          <w:jc w:val="center"/>
        </w:trPr>
        <w:tc>
          <w:tcPr>
            <w:tcW w:w="1425" w:type="dxa"/>
            <w:tcBorders>
              <w:top w:val="nil"/>
              <w:bottom w:val="nil"/>
              <w:right w:val="nil"/>
            </w:tcBorders>
          </w:tcPr>
          <w:p w14:paraId="560CBAB2" w14:textId="77777777" w:rsidR="00E543CA" w:rsidRPr="00A37B93" w:rsidRDefault="00E543CA" w:rsidP="006153AD">
            <w:pPr>
              <w:rPr>
                <w:rFonts w:ascii="Times New Roman" w:hAnsi="Times New Roman"/>
                <w:lang w:val="id-ID"/>
              </w:rPr>
            </w:pPr>
            <w:r w:rsidRPr="00A37B93">
              <w:rPr>
                <w:rFonts w:ascii="Times New Roman" w:hAnsi="Times New Roman"/>
                <w:lang w:val="id-ID"/>
              </w:rPr>
              <w:t>59-68</w:t>
            </w:r>
          </w:p>
        </w:tc>
        <w:tc>
          <w:tcPr>
            <w:tcW w:w="1036" w:type="dxa"/>
            <w:tcBorders>
              <w:top w:val="nil"/>
              <w:left w:val="nil"/>
              <w:bottom w:val="nil"/>
              <w:right w:val="nil"/>
            </w:tcBorders>
          </w:tcPr>
          <w:p w14:paraId="41631F79"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4</w:t>
            </w:r>
          </w:p>
        </w:tc>
        <w:tc>
          <w:tcPr>
            <w:tcW w:w="797" w:type="dxa"/>
            <w:tcBorders>
              <w:top w:val="nil"/>
              <w:left w:val="nil"/>
              <w:bottom w:val="nil"/>
            </w:tcBorders>
          </w:tcPr>
          <w:p w14:paraId="12BB3283"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20.0%</w:t>
            </w:r>
          </w:p>
        </w:tc>
      </w:tr>
      <w:tr w:rsidR="00E543CA" w:rsidRPr="00A37B93" w14:paraId="4FF80B35" w14:textId="77777777" w:rsidTr="00FD47AD">
        <w:trPr>
          <w:trHeight w:val="255"/>
          <w:jc w:val="center"/>
        </w:trPr>
        <w:tc>
          <w:tcPr>
            <w:tcW w:w="1425" w:type="dxa"/>
            <w:tcBorders>
              <w:top w:val="nil"/>
              <w:bottom w:val="nil"/>
              <w:right w:val="nil"/>
            </w:tcBorders>
          </w:tcPr>
          <w:p w14:paraId="794DA0F9" w14:textId="77777777" w:rsidR="00E543CA" w:rsidRPr="00A37B93" w:rsidRDefault="00E543CA" w:rsidP="006153AD">
            <w:pPr>
              <w:rPr>
                <w:rFonts w:ascii="Times New Roman" w:hAnsi="Times New Roman"/>
                <w:lang w:val="id-ID"/>
              </w:rPr>
            </w:pPr>
            <w:r w:rsidRPr="00A37B93">
              <w:rPr>
                <w:rFonts w:ascii="Times New Roman" w:hAnsi="Times New Roman"/>
                <w:lang w:val="id-ID"/>
              </w:rPr>
              <w:t>Total</w:t>
            </w:r>
          </w:p>
        </w:tc>
        <w:tc>
          <w:tcPr>
            <w:tcW w:w="1036" w:type="dxa"/>
            <w:tcBorders>
              <w:top w:val="nil"/>
              <w:left w:val="nil"/>
              <w:bottom w:val="nil"/>
              <w:right w:val="nil"/>
            </w:tcBorders>
          </w:tcPr>
          <w:p w14:paraId="32257455"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20</w:t>
            </w:r>
          </w:p>
        </w:tc>
        <w:tc>
          <w:tcPr>
            <w:tcW w:w="797" w:type="dxa"/>
            <w:tcBorders>
              <w:top w:val="nil"/>
              <w:left w:val="nil"/>
              <w:bottom w:val="nil"/>
            </w:tcBorders>
          </w:tcPr>
          <w:p w14:paraId="61ECAEBA"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100.0%</w:t>
            </w:r>
          </w:p>
        </w:tc>
      </w:tr>
      <w:tr w:rsidR="00E543CA" w:rsidRPr="00A37B93" w14:paraId="3FCA2051" w14:textId="77777777" w:rsidTr="00FD47AD">
        <w:trPr>
          <w:trHeight w:val="248"/>
          <w:jc w:val="center"/>
        </w:trPr>
        <w:tc>
          <w:tcPr>
            <w:tcW w:w="1425" w:type="dxa"/>
            <w:tcBorders>
              <w:top w:val="nil"/>
              <w:bottom w:val="nil"/>
              <w:right w:val="nil"/>
            </w:tcBorders>
          </w:tcPr>
          <w:p w14:paraId="79D2D0D5" w14:textId="77777777" w:rsidR="00E543CA" w:rsidRPr="00A37B93" w:rsidRDefault="00E543CA" w:rsidP="006153AD">
            <w:pPr>
              <w:rPr>
                <w:rFonts w:ascii="Times New Roman" w:hAnsi="Times New Roman"/>
                <w:b/>
                <w:lang w:val="id-ID"/>
              </w:rPr>
            </w:pPr>
            <w:r w:rsidRPr="00A37B93">
              <w:rPr>
                <w:rFonts w:ascii="Times New Roman" w:hAnsi="Times New Roman"/>
                <w:b/>
                <w:lang w:val="id-ID"/>
              </w:rPr>
              <w:t>Jenis Kelamin</w:t>
            </w:r>
          </w:p>
        </w:tc>
        <w:tc>
          <w:tcPr>
            <w:tcW w:w="1036" w:type="dxa"/>
            <w:tcBorders>
              <w:top w:val="nil"/>
              <w:left w:val="nil"/>
              <w:bottom w:val="nil"/>
              <w:right w:val="nil"/>
            </w:tcBorders>
          </w:tcPr>
          <w:p w14:paraId="27A280C1" w14:textId="77777777" w:rsidR="00E543CA" w:rsidRPr="00A37B93" w:rsidRDefault="00E543CA" w:rsidP="006153AD">
            <w:pPr>
              <w:jc w:val="center"/>
              <w:rPr>
                <w:rFonts w:ascii="Times New Roman" w:hAnsi="Times New Roman"/>
                <w:highlight w:val="yellow"/>
                <w:lang w:val="id-ID"/>
              </w:rPr>
            </w:pPr>
          </w:p>
        </w:tc>
        <w:tc>
          <w:tcPr>
            <w:tcW w:w="797" w:type="dxa"/>
            <w:tcBorders>
              <w:top w:val="nil"/>
              <w:left w:val="nil"/>
              <w:bottom w:val="nil"/>
            </w:tcBorders>
          </w:tcPr>
          <w:p w14:paraId="20322BE1" w14:textId="77777777" w:rsidR="00E543CA" w:rsidRPr="00A37B93" w:rsidRDefault="00E543CA" w:rsidP="006153AD">
            <w:pPr>
              <w:jc w:val="center"/>
              <w:rPr>
                <w:rFonts w:ascii="Times New Roman" w:hAnsi="Times New Roman"/>
                <w:lang w:val="id-ID"/>
              </w:rPr>
            </w:pPr>
          </w:p>
        </w:tc>
      </w:tr>
      <w:tr w:rsidR="00E543CA" w:rsidRPr="00A37B93" w14:paraId="2C1AF475" w14:textId="77777777" w:rsidTr="00FD47AD">
        <w:trPr>
          <w:trHeight w:val="248"/>
          <w:jc w:val="center"/>
        </w:trPr>
        <w:tc>
          <w:tcPr>
            <w:tcW w:w="1425" w:type="dxa"/>
            <w:tcBorders>
              <w:top w:val="nil"/>
              <w:bottom w:val="nil"/>
              <w:right w:val="nil"/>
            </w:tcBorders>
          </w:tcPr>
          <w:p w14:paraId="4846AB80" w14:textId="77777777" w:rsidR="00E543CA" w:rsidRPr="00A37B93" w:rsidRDefault="00E543CA" w:rsidP="006153AD">
            <w:pPr>
              <w:rPr>
                <w:rFonts w:ascii="Times New Roman" w:hAnsi="Times New Roman"/>
                <w:b/>
                <w:lang w:val="id-ID"/>
              </w:rPr>
            </w:pPr>
            <w:r w:rsidRPr="00A37B93">
              <w:rPr>
                <w:rFonts w:ascii="Times New Roman" w:hAnsi="Times New Roman"/>
                <w:b/>
                <w:lang w:val="id-ID"/>
              </w:rPr>
              <w:t>Laki-laki</w:t>
            </w:r>
          </w:p>
        </w:tc>
        <w:tc>
          <w:tcPr>
            <w:tcW w:w="1036" w:type="dxa"/>
            <w:tcBorders>
              <w:top w:val="nil"/>
              <w:left w:val="nil"/>
              <w:bottom w:val="nil"/>
              <w:right w:val="nil"/>
            </w:tcBorders>
          </w:tcPr>
          <w:p w14:paraId="5A2E32CD"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6</w:t>
            </w:r>
          </w:p>
        </w:tc>
        <w:tc>
          <w:tcPr>
            <w:tcW w:w="797" w:type="dxa"/>
            <w:tcBorders>
              <w:top w:val="nil"/>
              <w:left w:val="nil"/>
              <w:bottom w:val="nil"/>
            </w:tcBorders>
          </w:tcPr>
          <w:p w14:paraId="395FD27E"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30.0%</w:t>
            </w:r>
          </w:p>
        </w:tc>
      </w:tr>
      <w:tr w:rsidR="00E543CA" w:rsidRPr="00A37B93" w14:paraId="4DE56760" w14:textId="77777777" w:rsidTr="00FD47AD">
        <w:trPr>
          <w:trHeight w:val="248"/>
          <w:jc w:val="center"/>
        </w:trPr>
        <w:tc>
          <w:tcPr>
            <w:tcW w:w="1425" w:type="dxa"/>
            <w:tcBorders>
              <w:top w:val="nil"/>
              <w:bottom w:val="nil"/>
              <w:right w:val="nil"/>
            </w:tcBorders>
          </w:tcPr>
          <w:p w14:paraId="2120E753" w14:textId="77777777" w:rsidR="00E543CA" w:rsidRPr="00A37B93" w:rsidRDefault="00E543CA" w:rsidP="006153AD">
            <w:pPr>
              <w:rPr>
                <w:rFonts w:ascii="Times New Roman" w:hAnsi="Times New Roman"/>
                <w:b/>
                <w:lang w:val="id-ID"/>
              </w:rPr>
            </w:pPr>
            <w:r w:rsidRPr="00A37B93">
              <w:rPr>
                <w:rFonts w:ascii="Times New Roman" w:hAnsi="Times New Roman"/>
                <w:b/>
                <w:lang w:val="id-ID"/>
              </w:rPr>
              <w:t>Perempuan</w:t>
            </w:r>
          </w:p>
        </w:tc>
        <w:tc>
          <w:tcPr>
            <w:tcW w:w="1036" w:type="dxa"/>
            <w:tcBorders>
              <w:top w:val="nil"/>
              <w:left w:val="nil"/>
              <w:bottom w:val="nil"/>
              <w:right w:val="nil"/>
            </w:tcBorders>
          </w:tcPr>
          <w:p w14:paraId="0657252F"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14</w:t>
            </w:r>
          </w:p>
        </w:tc>
        <w:tc>
          <w:tcPr>
            <w:tcW w:w="797" w:type="dxa"/>
            <w:tcBorders>
              <w:top w:val="nil"/>
              <w:left w:val="nil"/>
              <w:bottom w:val="nil"/>
            </w:tcBorders>
          </w:tcPr>
          <w:p w14:paraId="583A413B"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70.0%</w:t>
            </w:r>
          </w:p>
        </w:tc>
      </w:tr>
      <w:tr w:rsidR="00E543CA" w:rsidRPr="00A37B93" w14:paraId="23413476" w14:textId="77777777" w:rsidTr="00FD47AD">
        <w:trPr>
          <w:trHeight w:val="248"/>
          <w:jc w:val="center"/>
        </w:trPr>
        <w:tc>
          <w:tcPr>
            <w:tcW w:w="1425" w:type="dxa"/>
            <w:tcBorders>
              <w:top w:val="nil"/>
              <w:bottom w:val="nil"/>
              <w:right w:val="nil"/>
            </w:tcBorders>
          </w:tcPr>
          <w:p w14:paraId="74BB99C6" w14:textId="77777777" w:rsidR="00E543CA" w:rsidRPr="00A37B93" w:rsidRDefault="00E543CA" w:rsidP="006153AD">
            <w:pPr>
              <w:rPr>
                <w:rFonts w:ascii="Times New Roman" w:hAnsi="Times New Roman"/>
                <w:lang w:val="id-ID"/>
              </w:rPr>
            </w:pPr>
            <w:r w:rsidRPr="00A37B93">
              <w:rPr>
                <w:rFonts w:ascii="Times New Roman" w:hAnsi="Times New Roman"/>
                <w:lang w:val="id-ID"/>
              </w:rPr>
              <w:t>Total</w:t>
            </w:r>
          </w:p>
        </w:tc>
        <w:tc>
          <w:tcPr>
            <w:tcW w:w="1036" w:type="dxa"/>
            <w:tcBorders>
              <w:top w:val="nil"/>
              <w:left w:val="nil"/>
              <w:bottom w:val="nil"/>
              <w:right w:val="nil"/>
            </w:tcBorders>
          </w:tcPr>
          <w:p w14:paraId="5C074135"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20</w:t>
            </w:r>
          </w:p>
        </w:tc>
        <w:tc>
          <w:tcPr>
            <w:tcW w:w="797" w:type="dxa"/>
            <w:tcBorders>
              <w:top w:val="nil"/>
              <w:left w:val="nil"/>
              <w:bottom w:val="nil"/>
            </w:tcBorders>
          </w:tcPr>
          <w:p w14:paraId="1D5D66E6"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100.0%</w:t>
            </w:r>
          </w:p>
        </w:tc>
      </w:tr>
      <w:tr w:rsidR="00E543CA" w:rsidRPr="00A37B93" w14:paraId="7732C4B8" w14:textId="77777777" w:rsidTr="00FD47AD">
        <w:trPr>
          <w:trHeight w:val="248"/>
          <w:jc w:val="center"/>
        </w:trPr>
        <w:tc>
          <w:tcPr>
            <w:tcW w:w="1425" w:type="dxa"/>
            <w:tcBorders>
              <w:top w:val="nil"/>
              <w:bottom w:val="nil"/>
              <w:right w:val="nil"/>
            </w:tcBorders>
          </w:tcPr>
          <w:p w14:paraId="17866178" w14:textId="77777777" w:rsidR="00E543CA" w:rsidRPr="00A37B93" w:rsidRDefault="00E543CA" w:rsidP="006153AD">
            <w:pPr>
              <w:rPr>
                <w:rFonts w:ascii="Times New Roman" w:hAnsi="Times New Roman"/>
                <w:b/>
                <w:lang w:val="id-ID"/>
              </w:rPr>
            </w:pPr>
            <w:r w:rsidRPr="00A37B93">
              <w:rPr>
                <w:rFonts w:ascii="Times New Roman" w:hAnsi="Times New Roman"/>
                <w:b/>
                <w:lang w:val="id-ID"/>
              </w:rPr>
              <w:t>Pendidikan</w:t>
            </w:r>
          </w:p>
        </w:tc>
        <w:tc>
          <w:tcPr>
            <w:tcW w:w="1036" w:type="dxa"/>
            <w:tcBorders>
              <w:top w:val="nil"/>
              <w:left w:val="nil"/>
              <w:bottom w:val="nil"/>
              <w:right w:val="nil"/>
            </w:tcBorders>
          </w:tcPr>
          <w:p w14:paraId="195600D4" w14:textId="77777777" w:rsidR="00E543CA" w:rsidRPr="00A37B93" w:rsidRDefault="00E543CA" w:rsidP="006153AD">
            <w:pPr>
              <w:jc w:val="center"/>
              <w:rPr>
                <w:rFonts w:ascii="Times New Roman" w:hAnsi="Times New Roman"/>
                <w:highlight w:val="yellow"/>
                <w:lang w:val="id-ID"/>
              </w:rPr>
            </w:pPr>
          </w:p>
        </w:tc>
        <w:tc>
          <w:tcPr>
            <w:tcW w:w="797" w:type="dxa"/>
            <w:tcBorders>
              <w:top w:val="nil"/>
              <w:left w:val="nil"/>
              <w:bottom w:val="nil"/>
            </w:tcBorders>
          </w:tcPr>
          <w:p w14:paraId="136A7C64" w14:textId="77777777" w:rsidR="00E543CA" w:rsidRPr="00A37B93" w:rsidRDefault="00E543CA" w:rsidP="006153AD">
            <w:pPr>
              <w:jc w:val="center"/>
              <w:rPr>
                <w:rFonts w:ascii="Times New Roman" w:hAnsi="Times New Roman"/>
                <w:highlight w:val="yellow"/>
                <w:lang w:val="id-ID"/>
              </w:rPr>
            </w:pPr>
          </w:p>
        </w:tc>
      </w:tr>
      <w:tr w:rsidR="00E543CA" w:rsidRPr="00A37B93" w14:paraId="0E1CEA8D" w14:textId="77777777" w:rsidTr="00FD47AD">
        <w:trPr>
          <w:trHeight w:val="248"/>
          <w:jc w:val="center"/>
        </w:trPr>
        <w:tc>
          <w:tcPr>
            <w:tcW w:w="1425" w:type="dxa"/>
            <w:tcBorders>
              <w:top w:val="nil"/>
              <w:bottom w:val="nil"/>
              <w:right w:val="nil"/>
            </w:tcBorders>
          </w:tcPr>
          <w:p w14:paraId="71B1B01E" w14:textId="77777777" w:rsidR="00E543CA" w:rsidRPr="00A37B93" w:rsidRDefault="00E543CA" w:rsidP="006153AD">
            <w:pPr>
              <w:rPr>
                <w:rFonts w:ascii="Times New Roman" w:hAnsi="Times New Roman"/>
                <w:lang w:val="id-ID"/>
              </w:rPr>
            </w:pPr>
            <w:r w:rsidRPr="00A37B93">
              <w:rPr>
                <w:rFonts w:ascii="Times New Roman" w:hAnsi="Times New Roman"/>
                <w:lang w:val="id-ID"/>
              </w:rPr>
              <w:t>SD</w:t>
            </w:r>
          </w:p>
        </w:tc>
        <w:tc>
          <w:tcPr>
            <w:tcW w:w="1036" w:type="dxa"/>
            <w:tcBorders>
              <w:top w:val="nil"/>
              <w:left w:val="nil"/>
              <w:bottom w:val="nil"/>
              <w:right w:val="nil"/>
            </w:tcBorders>
          </w:tcPr>
          <w:p w14:paraId="48BE50AE"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4</w:t>
            </w:r>
          </w:p>
        </w:tc>
        <w:tc>
          <w:tcPr>
            <w:tcW w:w="797" w:type="dxa"/>
            <w:tcBorders>
              <w:top w:val="nil"/>
              <w:left w:val="nil"/>
              <w:bottom w:val="nil"/>
            </w:tcBorders>
          </w:tcPr>
          <w:p w14:paraId="4829FEB3"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20.0%</w:t>
            </w:r>
          </w:p>
        </w:tc>
      </w:tr>
      <w:tr w:rsidR="00E543CA" w:rsidRPr="00A37B93" w14:paraId="06B085FD" w14:textId="77777777" w:rsidTr="00FD47AD">
        <w:trPr>
          <w:trHeight w:val="248"/>
          <w:jc w:val="center"/>
        </w:trPr>
        <w:tc>
          <w:tcPr>
            <w:tcW w:w="1425" w:type="dxa"/>
            <w:tcBorders>
              <w:top w:val="nil"/>
              <w:bottom w:val="nil"/>
              <w:right w:val="nil"/>
            </w:tcBorders>
          </w:tcPr>
          <w:p w14:paraId="065EEEAE" w14:textId="77777777" w:rsidR="00E543CA" w:rsidRPr="00A37B93" w:rsidRDefault="00E543CA" w:rsidP="006153AD">
            <w:pPr>
              <w:rPr>
                <w:rFonts w:ascii="Times New Roman" w:hAnsi="Times New Roman"/>
                <w:lang w:val="id-ID"/>
              </w:rPr>
            </w:pPr>
            <w:r w:rsidRPr="00A37B93">
              <w:rPr>
                <w:rFonts w:ascii="Times New Roman" w:hAnsi="Times New Roman"/>
                <w:lang w:val="id-ID"/>
              </w:rPr>
              <w:t>SMP</w:t>
            </w:r>
          </w:p>
        </w:tc>
        <w:tc>
          <w:tcPr>
            <w:tcW w:w="1036" w:type="dxa"/>
            <w:tcBorders>
              <w:top w:val="nil"/>
              <w:left w:val="nil"/>
              <w:bottom w:val="nil"/>
              <w:right w:val="nil"/>
            </w:tcBorders>
          </w:tcPr>
          <w:p w14:paraId="02F73952"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8</w:t>
            </w:r>
          </w:p>
        </w:tc>
        <w:tc>
          <w:tcPr>
            <w:tcW w:w="797" w:type="dxa"/>
            <w:tcBorders>
              <w:top w:val="nil"/>
              <w:left w:val="nil"/>
              <w:bottom w:val="nil"/>
            </w:tcBorders>
          </w:tcPr>
          <w:p w14:paraId="615EA36D"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40.0%</w:t>
            </w:r>
          </w:p>
        </w:tc>
      </w:tr>
      <w:tr w:rsidR="00E543CA" w:rsidRPr="00A37B93" w14:paraId="70955CBB" w14:textId="77777777" w:rsidTr="00FD47AD">
        <w:trPr>
          <w:trHeight w:val="248"/>
          <w:jc w:val="center"/>
        </w:trPr>
        <w:tc>
          <w:tcPr>
            <w:tcW w:w="1425" w:type="dxa"/>
            <w:tcBorders>
              <w:top w:val="nil"/>
              <w:bottom w:val="nil"/>
              <w:right w:val="nil"/>
            </w:tcBorders>
          </w:tcPr>
          <w:p w14:paraId="3D10E8EB" w14:textId="77777777" w:rsidR="00E543CA" w:rsidRPr="00A37B93" w:rsidRDefault="00E543CA" w:rsidP="006153AD">
            <w:pPr>
              <w:rPr>
                <w:rFonts w:ascii="Times New Roman" w:hAnsi="Times New Roman"/>
                <w:lang w:val="id-ID"/>
              </w:rPr>
            </w:pPr>
            <w:r w:rsidRPr="00A37B93">
              <w:rPr>
                <w:rFonts w:ascii="Times New Roman" w:hAnsi="Times New Roman"/>
                <w:lang w:val="id-ID"/>
              </w:rPr>
              <w:t>SMA/SMK</w:t>
            </w:r>
          </w:p>
        </w:tc>
        <w:tc>
          <w:tcPr>
            <w:tcW w:w="1036" w:type="dxa"/>
            <w:tcBorders>
              <w:top w:val="nil"/>
              <w:left w:val="nil"/>
              <w:bottom w:val="nil"/>
              <w:right w:val="nil"/>
            </w:tcBorders>
          </w:tcPr>
          <w:p w14:paraId="4CC44714"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6</w:t>
            </w:r>
          </w:p>
        </w:tc>
        <w:tc>
          <w:tcPr>
            <w:tcW w:w="797" w:type="dxa"/>
            <w:tcBorders>
              <w:top w:val="nil"/>
              <w:left w:val="nil"/>
              <w:bottom w:val="nil"/>
            </w:tcBorders>
          </w:tcPr>
          <w:p w14:paraId="20E79D97"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30.0%</w:t>
            </w:r>
          </w:p>
        </w:tc>
      </w:tr>
      <w:tr w:rsidR="00E543CA" w:rsidRPr="00A37B93" w14:paraId="1778CCED" w14:textId="77777777" w:rsidTr="00FD47AD">
        <w:trPr>
          <w:trHeight w:val="295"/>
          <w:jc w:val="center"/>
        </w:trPr>
        <w:tc>
          <w:tcPr>
            <w:tcW w:w="1425" w:type="dxa"/>
            <w:tcBorders>
              <w:top w:val="nil"/>
              <w:bottom w:val="nil"/>
              <w:right w:val="nil"/>
            </w:tcBorders>
          </w:tcPr>
          <w:p w14:paraId="2D135896" w14:textId="77777777" w:rsidR="00E543CA" w:rsidRPr="00A37B93" w:rsidRDefault="00E543CA" w:rsidP="006153AD">
            <w:pPr>
              <w:rPr>
                <w:rFonts w:ascii="Times New Roman" w:hAnsi="Times New Roman"/>
                <w:lang w:val="id-ID"/>
              </w:rPr>
            </w:pPr>
            <w:r w:rsidRPr="00A37B93">
              <w:rPr>
                <w:rFonts w:ascii="Times New Roman" w:hAnsi="Times New Roman"/>
                <w:lang w:val="id-ID"/>
              </w:rPr>
              <w:t>Sarjana</w:t>
            </w:r>
          </w:p>
        </w:tc>
        <w:tc>
          <w:tcPr>
            <w:tcW w:w="1036" w:type="dxa"/>
            <w:tcBorders>
              <w:top w:val="nil"/>
              <w:left w:val="nil"/>
              <w:bottom w:val="nil"/>
              <w:right w:val="nil"/>
            </w:tcBorders>
          </w:tcPr>
          <w:p w14:paraId="5A3A46A3"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w:t>
            </w:r>
          </w:p>
        </w:tc>
        <w:tc>
          <w:tcPr>
            <w:tcW w:w="797" w:type="dxa"/>
            <w:tcBorders>
              <w:top w:val="nil"/>
              <w:left w:val="nil"/>
              <w:bottom w:val="nil"/>
            </w:tcBorders>
          </w:tcPr>
          <w:p w14:paraId="08B4B462"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10.0%</w:t>
            </w:r>
          </w:p>
        </w:tc>
      </w:tr>
      <w:tr w:rsidR="00E543CA" w:rsidRPr="00A37B93" w14:paraId="338980F5" w14:textId="77777777" w:rsidTr="00FD47AD">
        <w:trPr>
          <w:trHeight w:val="86"/>
          <w:jc w:val="center"/>
        </w:trPr>
        <w:tc>
          <w:tcPr>
            <w:tcW w:w="1425" w:type="dxa"/>
            <w:tcBorders>
              <w:top w:val="nil"/>
              <w:bottom w:val="nil"/>
              <w:right w:val="nil"/>
            </w:tcBorders>
          </w:tcPr>
          <w:p w14:paraId="105A51DA" w14:textId="77777777" w:rsidR="00E543CA" w:rsidRPr="00A37B93" w:rsidRDefault="00E543CA" w:rsidP="006153AD">
            <w:pPr>
              <w:rPr>
                <w:rFonts w:ascii="Times New Roman" w:hAnsi="Times New Roman"/>
                <w:lang w:val="id-ID"/>
              </w:rPr>
            </w:pPr>
            <w:r w:rsidRPr="00A37B93">
              <w:rPr>
                <w:rFonts w:ascii="Times New Roman" w:hAnsi="Times New Roman"/>
                <w:lang w:val="id-ID"/>
              </w:rPr>
              <w:t>Total</w:t>
            </w:r>
          </w:p>
        </w:tc>
        <w:tc>
          <w:tcPr>
            <w:tcW w:w="1036" w:type="dxa"/>
            <w:tcBorders>
              <w:top w:val="nil"/>
              <w:left w:val="nil"/>
              <w:bottom w:val="nil"/>
              <w:right w:val="nil"/>
            </w:tcBorders>
          </w:tcPr>
          <w:p w14:paraId="7402E30C"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20</w:t>
            </w:r>
          </w:p>
        </w:tc>
        <w:tc>
          <w:tcPr>
            <w:tcW w:w="797" w:type="dxa"/>
            <w:tcBorders>
              <w:top w:val="nil"/>
              <w:left w:val="nil"/>
              <w:bottom w:val="nil"/>
            </w:tcBorders>
          </w:tcPr>
          <w:p w14:paraId="2DCD2ECF"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100.0%</w:t>
            </w:r>
          </w:p>
        </w:tc>
      </w:tr>
      <w:tr w:rsidR="00E543CA" w:rsidRPr="00A37B93" w14:paraId="347C8AF9" w14:textId="77777777" w:rsidTr="00FD47AD">
        <w:trPr>
          <w:trHeight w:val="77"/>
          <w:jc w:val="center"/>
        </w:trPr>
        <w:tc>
          <w:tcPr>
            <w:tcW w:w="1425" w:type="dxa"/>
            <w:tcBorders>
              <w:top w:val="nil"/>
              <w:bottom w:val="nil"/>
              <w:right w:val="nil"/>
            </w:tcBorders>
          </w:tcPr>
          <w:p w14:paraId="3D2514F7" w14:textId="77777777" w:rsidR="00E543CA" w:rsidRPr="00A37B93" w:rsidRDefault="00E543CA" w:rsidP="006153AD">
            <w:pPr>
              <w:rPr>
                <w:rFonts w:ascii="Times New Roman" w:hAnsi="Times New Roman"/>
                <w:b/>
                <w:bCs/>
                <w:lang w:val="id-ID"/>
              </w:rPr>
            </w:pPr>
            <w:r w:rsidRPr="00A37B93">
              <w:rPr>
                <w:rFonts w:ascii="Times New Roman" w:hAnsi="Times New Roman"/>
                <w:b/>
                <w:bCs/>
                <w:lang w:val="id-ID"/>
              </w:rPr>
              <w:t>Pekerjaan</w:t>
            </w:r>
          </w:p>
        </w:tc>
        <w:tc>
          <w:tcPr>
            <w:tcW w:w="1036" w:type="dxa"/>
            <w:tcBorders>
              <w:top w:val="nil"/>
              <w:left w:val="nil"/>
              <w:bottom w:val="nil"/>
              <w:right w:val="nil"/>
            </w:tcBorders>
          </w:tcPr>
          <w:p w14:paraId="52A21907" w14:textId="77777777" w:rsidR="00E543CA" w:rsidRPr="00A37B93" w:rsidRDefault="00E543CA" w:rsidP="006153AD">
            <w:pPr>
              <w:jc w:val="center"/>
              <w:rPr>
                <w:rFonts w:ascii="Times New Roman" w:hAnsi="Times New Roman"/>
                <w:lang w:val="id-ID"/>
              </w:rPr>
            </w:pPr>
          </w:p>
        </w:tc>
        <w:tc>
          <w:tcPr>
            <w:tcW w:w="797" w:type="dxa"/>
            <w:tcBorders>
              <w:top w:val="nil"/>
              <w:left w:val="nil"/>
              <w:bottom w:val="nil"/>
            </w:tcBorders>
          </w:tcPr>
          <w:p w14:paraId="2FA6FE75" w14:textId="77777777" w:rsidR="00E543CA" w:rsidRPr="00A37B93" w:rsidRDefault="00E543CA" w:rsidP="006153AD">
            <w:pPr>
              <w:jc w:val="center"/>
              <w:rPr>
                <w:rFonts w:ascii="Times New Roman" w:hAnsi="Times New Roman"/>
                <w:lang w:val="id-ID"/>
              </w:rPr>
            </w:pPr>
          </w:p>
        </w:tc>
      </w:tr>
      <w:tr w:rsidR="00E543CA" w:rsidRPr="00A37B93" w14:paraId="728B5DE4" w14:textId="77777777" w:rsidTr="00FD47AD">
        <w:trPr>
          <w:trHeight w:val="256"/>
          <w:jc w:val="center"/>
        </w:trPr>
        <w:tc>
          <w:tcPr>
            <w:tcW w:w="1425" w:type="dxa"/>
            <w:tcBorders>
              <w:top w:val="nil"/>
              <w:bottom w:val="nil"/>
              <w:right w:val="nil"/>
            </w:tcBorders>
          </w:tcPr>
          <w:p w14:paraId="28EC3C57" w14:textId="77777777" w:rsidR="00E543CA" w:rsidRPr="00A37B93" w:rsidRDefault="00E543CA" w:rsidP="006153AD">
            <w:pPr>
              <w:rPr>
                <w:rFonts w:ascii="Times New Roman" w:hAnsi="Times New Roman"/>
                <w:lang w:val="id-ID"/>
              </w:rPr>
            </w:pPr>
            <w:r w:rsidRPr="00A37B93">
              <w:rPr>
                <w:rFonts w:ascii="Times New Roman" w:hAnsi="Times New Roman"/>
                <w:lang w:val="id-ID"/>
              </w:rPr>
              <w:t>Tidak Bekerja</w:t>
            </w:r>
          </w:p>
        </w:tc>
        <w:tc>
          <w:tcPr>
            <w:tcW w:w="1036" w:type="dxa"/>
            <w:tcBorders>
              <w:top w:val="nil"/>
              <w:left w:val="nil"/>
              <w:bottom w:val="nil"/>
              <w:right w:val="nil"/>
            </w:tcBorders>
          </w:tcPr>
          <w:p w14:paraId="09D38CD5"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w:t>
            </w:r>
          </w:p>
        </w:tc>
        <w:tc>
          <w:tcPr>
            <w:tcW w:w="797" w:type="dxa"/>
            <w:tcBorders>
              <w:top w:val="nil"/>
              <w:left w:val="nil"/>
              <w:bottom w:val="nil"/>
            </w:tcBorders>
          </w:tcPr>
          <w:p w14:paraId="13CE75D6"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5.0%</w:t>
            </w:r>
          </w:p>
        </w:tc>
      </w:tr>
      <w:tr w:rsidR="00E543CA" w:rsidRPr="00A37B93" w14:paraId="5B5FD6CD" w14:textId="77777777" w:rsidTr="00FD47AD">
        <w:trPr>
          <w:trHeight w:val="250"/>
          <w:jc w:val="center"/>
        </w:trPr>
        <w:tc>
          <w:tcPr>
            <w:tcW w:w="1425" w:type="dxa"/>
            <w:tcBorders>
              <w:top w:val="nil"/>
              <w:bottom w:val="nil"/>
              <w:right w:val="nil"/>
            </w:tcBorders>
          </w:tcPr>
          <w:p w14:paraId="679DFB26" w14:textId="77777777" w:rsidR="00E543CA" w:rsidRPr="00A37B93" w:rsidRDefault="00E543CA" w:rsidP="006153AD">
            <w:pPr>
              <w:rPr>
                <w:rFonts w:ascii="Times New Roman" w:hAnsi="Times New Roman"/>
                <w:lang w:val="id-ID"/>
              </w:rPr>
            </w:pPr>
            <w:r w:rsidRPr="00A37B93">
              <w:rPr>
                <w:rFonts w:ascii="Times New Roman" w:hAnsi="Times New Roman"/>
                <w:lang w:val="id-ID"/>
              </w:rPr>
              <w:t>IRT</w:t>
            </w:r>
          </w:p>
        </w:tc>
        <w:tc>
          <w:tcPr>
            <w:tcW w:w="1036" w:type="dxa"/>
            <w:tcBorders>
              <w:top w:val="nil"/>
              <w:left w:val="nil"/>
              <w:bottom w:val="nil"/>
              <w:right w:val="nil"/>
            </w:tcBorders>
          </w:tcPr>
          <w:p w14:paraId="32B8BC71"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12</w:t>
            </w:r>
          </w:p>
        </w:tc>
        <w:tc>
          <w:tcPr>
            <w:tcW w:w="797" w:type="dxa"/>
            <w:tcBorders>
              <w:top w:val="nil"/>
              <w:left w:val="nil"/>
              <w:bottom w:val="nil"/>
            </w:tcBorders>
          </w:tcPr>
          <w:p w14:paraId="74221A82"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60.0%</w:t>
            </w:r>
          </w:p>
        </w:tc>
      </w:tr>
      <w:tr w:rsidR="00E543CA" w:rsidRPr="00A37B93" w14:paraId="387AA645" w14:textId="77777777" w:rsidTr="00FD47AD">
        <w:trPr>
          <w:trHeight w:val="256"/>
          <w:jc w:val="center"/>
        </w:trPr>
        <w:tc>
          <w:tcPr>
            <w:tcW w:w="1425" w:type="dxa"/>
            <w:tcBorders>
              <w:top w:val="nil"/>
              <w:bottom w:val="nil"/>
              <w:right w:val="nil"/>
            </w:tcBorders>
          </w:tcPr>
          <w:p w14:paraId="06C04DC5" w14:textId="77777777" w:rsidR="00E543CA" w:rsidRPr="00A37B93" w:rsidRDefault="00E543CA" w:rsidP="006153AD">
            <w:pPr>
              <w:rPr>
                <w:rFonts w:ascii="Times New Roman" w:hAnsi="Times New Roman"/>
                <w:lang w:val="id-ID"/>
              </w:rPr>
            </w:pPr>
            <w:r w:rsidRPr="00A37B93">
              <w:rPr>
                <w:rFonts w:ascii="Times New Roman" w:hAnsi="Times New Roman"/>
                <w:lang w:val="id-ID"/>
              </w:rPr>
              <w:t>PNS</w:t>
            </w:r>
          </w:p>
        </w:tc>
        <w:tc>
          <w:tcPr>
            <w:tcW w:w="1036" w:type="dxa"/>
            <w:tcBorders>
              <w:top w:val="nil"/>
              <w:left w:val="nil"/>
              <w:bottom w:val="nil"/>
              <w:right w:val="nil"/>
            </w:tcBorders>
          </w:tcPr>
          <w:p w14:paraId="1A742322"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w:t>
            </w:r>
          </w:p>
        </w:tc>
        <w:tc>
          <w:tcPr>
            <w:tcW w:w="797" w:type="dxa"/>
            <w:tcBorders>
              <w:top w:val="nil"/>
              <w:left w:val="nil"/>
              <w:bottom w:val="nil"/>
            </w:tcBorders>
          </w:tcPr>
          <w:p w14:paraId="74749B67"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5.0%</w:t>
            </w:r>
          </w:p>
        </w:tc>
      </w:tr>
      <w:tr w:rsidR="00E543CA" w:rsidRPr="00A37B93" w14:paraId="47031CFD" w14:textId="77777777" w:rsidTr="00FD47AD">
        <w:trPr>
          <w:trHeight w:val="77"/>
          <w:jc w:val="center"/>
        </w:trPr>
        <w:tc>
          <w:tcPr>
            <w:tcW w:w="1425" w:type="dxa"/>
            <w:tcBorders>
              <w:top w:val="nil"/>
              <w:bottom w:val="nil"/>
              <w:right w:val="nil"/>
            </w:tcBorders>
          </w:tcPr>
          <w:p w14:paraId="5449759D" w14:textId="77777777" w:rsidR="00E543CA" w:rsidRPr="00A37B93" w:rsidRDefault="00E543CA" w:rsidP="006153AD">
            <w:pPr>
              <w:rPr>
                <w:rFonts w:ascii="Times New Roman" w:hAnsi="Times New Roman"/>
                <w:lang w:val="id-ID"/>
              </w:rPr>
            </w:pPr>
            <w:r w:rsidRPr="00A37B93">
              <w:rPr>
                <w:rFonts w:ascii="Times New Roman" w:hAnsi="Times New Roman"/>
                <w:lang w:val="id-ID"/>
              </w:rPr>
              <w:t>Wiraswasta</w:t>
            </w:r>
          </w:p>
        </w:tc>
        <w:tc>
          <w:tcPr>
            <w:tcW w:w="1036" w:type="dxa"/>
            <w:tcBorders>
              <w:top w:val="nil"/>
              <w:left w:val="nil"/>
              <w:bottom w:val="nil"/>
              <w:right w:val="nil"/>
            </w:tcBorders>
          </w:tcPr>
          <w:p w14:paraId="2131EBFE"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4</w:t>
            </w:r>
          </w:p>
        </w:tc>
        <w:tc>
          <w:tcPr>
            <w:tcW w:w="797" w:type="dxa"/>
            <w:tcBorders>
              <w:top w:val="nil"/>
              <w:left w:val="nil"/>
              <w:bottom w:val="nil"/>
            </w:tcBorders>
          </w:tcPr>
          <w:p w14:paraId="13372E97"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20.0%</w:t>
            </w:r>
          </w:p>
        </w:tc>
      </w:tr>
      <w:tr w:rsidR="00E543CA" w:rsidRPr="00A37B93" w14:paraId="32896C0C" w14:textId="77777777" w:rsidTr="00FD47AD">
        <w:trPr>
          <w:trHeight w:val="256"/>
          <w:jc w:val="center"/>
        </w:trPr>
        <w:tc>
          <w:tcPr>
            <w:tcW w:w="1425" w:type="dxa"/>
            <w:tcBorders>
              <w:top w:val="nil"/>
              <w:bottom w:val="nil"/>
              <w:right w:val="nil"/>
            </w:tcBorders>
          </w:tcPr>
          <w:p w14:paraId="5D7BF059" w14:textId="77777777" w:rsidR="00E543CA" w:rsidRPr="00A37B93" w:rsidRDefault="00E543CA" w:rsidP="006153AD">
            <w:pPr>
              <w:rPr>
                <w:rFonts w:ascii="Times New Roman" w:hAnsi="Times New Roman"/>
                <w:lang w:val="id-ID"/>
              </w:rPr>
            </w:pPr>
            <w:r w:rsidRPr="00A37B93">
              <w:rPr>
                <w:rFonts w:ascii="Times New Roman" w:hAnsi="Times New Roman"/>
                <w:lang w:val="id-ID"/>
              </w:rPr>
              <w:t>Karyawan Swasta</w:t>
            </w:r>
          </w:p>
        </w:tc>
        <w:tc>
          <w:tcPr>
            <w:tcW w:w="1036" w:type="dxa"/>
            <w:tcBorders>
              <w:top w:val="nil"/>
              <w:left w:val="nil"/>
              <w:bottom w:val="nil"/>
              <w:right w:val="nil"/>
            </w:tcBorders>
          </w:tcPr>
          <w:p w14:paraId="76C06962"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w:t>
            </w:r>
          </w:p>
        </w:tc>
        <w:tc>
          <w:tcPr>
            <w:tcW w:w="797" w:type="dxa"/>
            <w:tcBorders>
              <w:top w:val="nil"/>
              <w:left w:val="nil"/>
              <w:bottom w:val="nil"/>
            </w:tcBorders>
          </w:tcPr>
          <w:p w14:paraId="4E97D9C0"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5.0%</w:t>
            </w:r>
          </w:p>
        </w:tc>
      </w:tr>
      <w:tr w:rsidR="00E543CA" w:rsidRPr="00A37B93" w14:paraId="433556E9" w14:textId="77777777" w:rsidTr="00FD47AD">
        <w:trPr>
          <w:trHeight w:val="234"/>
          <w:jc w:val="center"/>
        </w:trPr>
        <w:tc>
          <w:tcPr>
            <w:tcW w:w="1425" w:type="dxa"/>
            <w:tcBorders>
              <w:top w:val="nil"/>
              <w:bottom w:val="nil"/>
              <w:right w:val="nil"/>
            </w:tcBorders>
          </w:tcPr>
          <w:p w14:paraId="5D02E545" w14:textId="77777777" w:rsidR="00E543CA" w:rsidRPr="00A37B93" w:rsidRDefault="00E543CA" w:rsidP="006153AD">
            <w:pPr>
              <w:rPr>
                <w:rFonts w:ascii="Times New Roman" w:hAnsi="Times New Roman"/>
                <w:lang w:val="id-ID"/>
              </w:rPr>
            </w:pPr>
            <w:r w:rsidRPr="00A37B93">
              <w:rPr>
                <w:rFonts w:ascii="Times New Roman" w:hAnsi="Times New Roman"/>
                <w:lang w:val="id-ID"/>
              </w:rPr>
              <w:t>Petani/Buruh</w:t>
            </w:r>
          </w:p>
        </w:tc>
        <w:tc>
          <w:tcPr>
            <w:tcW w:w="1036" w:type="dxa"/>
            <w:tcBorders>
              <w:top w:val="nil"/>
              <w:left w:val="nil"/>
              <w:bottom w:val="nil"/>
              <w:right w:val="nil"/>
            </w:tcBorders>
          </w:tcPr>
          <w:p w14:paraId="53226AE5"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w:t>
            </w:r>
          </w:p>
        </w:tc>
        <w:tc>
          <w:tcPr>
            <w:tcW w:w="797" w:type="dxa"/>
            <w:tcBorders>
              <w:top w:val="nil"/>
              <w:left w:val="nil"/>
              <w:bottom w:val="nil"/>
            </w:tcBorders>
          </w:tcPr>
          <w:p w14:paraId="6A6BC36F"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5.0%</w:t>
            </w:r>
          </w:p>
        </w:tc>
      </w:tr>
      <w:tr w:rsidR="00E543CA" w:rsidRPr="00A37B93" w14:paraId="29000A4F" w14:textId="77777777" w:rsidTr="00FD47AD">
        <w:trPr>
          <w:trHeight w:val="203"/>
          <w:jc w:val="center"/>
        </w:trPr>
        <w:tc>
          <w:tcPr>
            <w:tcW w:w="1425" w:type="dxa"/>
            <w:tcBorders>
              <w:top w:val="nil"/>
              <w:bottom w:val="nil"/>
              <w:right w:val="nil"/>
            </w:tcBorders>
          </w:tcPr>
          <w:p w14:paraId="7053FD76" w14:textId="77777777" w:rsidR="00E543CA" w:rsidRPr="00A37B93" w:rsidRDefault="00E543CA" w:rsidP="006153AD">
            <w:pPr>
              <w:rPr>
                <w:rFonts w:ascii="Times New Roman" w:hAnsi="Times New Roman"/>
                <w:lang w:val="id-ID"/>
              </w:rPr>
            </w:pPr>
            <w:r w:rsidRPr="00A37B93">
              <w:rPr>
                <w:rFonts w:ascii="Times New Roman" w:hAnsi="Times New Roman"/>
                <w:lang w:val="id-ID"/>
              </w:rPr>
              <w:t>Total</w:t>
            </w:r>
          </w:p>
        </w:tc>
        <w:tc>
          <w:tcPr>
            <w:tcW w:w="1036" w:type="dxa"/>
            <w:tcBorders>
              <w:top w:val="nil"/>
              <w:left w:val="nil"/>
              <w:bottom w:val="nil"/>
              <w:right w:val="nil"/>
            </w:tcBorders>
          </w:tcPr>
          <w:p w14:paraId="612F8962"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20</w:t>
            </w:r>
          </w:p>
        </w:tc>
        <w:tc>
          <w:tcPr>
            <w:tcW w:w="797" w:type="dxa"/>
            <w:tcBorders>
              <w:top w:val="nil"/>
              <w:left w:val="nil"/>
              <w:bottom w:val="nil"/>
            </w:tcBorders>
          </w:tcPr>
          <w:p w14:paraId="77B655A1"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100.0%</w:t>
            </w:r>
          </w:p>
        </w:tc>
      </w:tr>
      <w:tr w:rsidR="00E543CA" w:rsidRPr="00A37B93" w14:paraId="417D5282" w14:textId="77777777" w:rsidTr="00FD47AD">
        <w:trPr>
          <w:trHeight w:val="322"/>
          <w:jc w:val="center"/>
        </w:trPr>
        <w:tc>
          <w:tcPr>
            <w:tcW w:w="1425" w:type="dxa"/>
            <w:tcBorders>
              <w:top w:val="nil"/>
              <w:bottom w:val="nil"/>
              <w:right w:val="nil"/>
            </w:tcBorders>
          </w:tcPr>
          <w:p w14:paraId="01984641" w14:textId="77777777" w:rsidR="00E543CA" w:rsidRPr="00A37B93" w:rsidRDefault="00E543CA" w:rsidP="006153AD">
            <w:pPr>
              <w:rPr>
                <w:rFonts w:ascii="Times New Roman" w:hAnsi="Times New Roman"/>
                <w:b/>
                <w:bCs/>
                <w:lang w:val="id-ID"/>
              </w:rPr>
            </w:pPr>
            <w:r w:rsidRPr="00A37B93">
              <w:rPr>
                <w:rFonts w:ascii="Times New Roman" w:hAnsi="Times New Roman"/>
                <w:b/>
                <w:bCs/>
                <w:lang w:val="id-ID"/>
              </w:rPr>
              <w:t>Penghasilan</w:t>
            </w:r>
          </w:p>
        </w:tc>
        <w:tc>
          <w:tcPr>
            <w:tcW w:w="1036" w:type="dxa"/>
            <w:tcBorders>
              <w:top w:val="nil"/>
              <w:left w:val="nil"/>
              <w:bottom w:val="nil"/>
              <w:right w:val="nil"/>
            </w:tcBorders>
          </w:tcPr>
          <w:p w14:paraId="49CBDF04" w14:textId="77777777" w:rsidR="00E543CA" w:rsidRPr="00A37B93" w:rsidRDefault="00E543CA" w:rsidP="006153AD">
            <w:pPr>
              <w:jc w:val="center"/>
              <w:rPr>
                <w:rFonts w:ascii="Times New Roman" w:hAnsi="Times New Roman"/>
                <w:lang w:val="id-ID"/>
              </w:rPr>
            </w:pPr>
          </w:p>
        </w:tc>
        <w:tc>
          <w:tcPr>
            <w:tcW w:w="797" w:type="dxa"/>
            <w:tcBorders>
              <w:top w:val="nil"/>
              <w:left w:val="nil"/>
              <w:bottom w:val="nil"/>
            </w:tcBorders>
          </w:tcPr>
          <w:p w14:paraId="2D376729" w14:textId="77777777" w:rsidR="00E543CA" w:rsidRPr="00A37B93" w:rsidRDefault="00E543CA" w:rsidP="006153AD">
            <w:pPr>
              <w:jc w:val="center"/>
              <w:rPr>
                <w:rFonts w:ascii="Times New Roman" w:hAnsi="Times New Roman"/>
                <w:lang w:val="id-ID"/>
              </w:rPr>
            </w:pPr>
          </w:p>
        </w:tc>
      </w:tr>
      <w:tr w:rsidR="00E543CA" w:rsidRPr="00A37B93" w14:paraId="3C0058AA" w14:textId="77777777" w:rsidTr="00FD47AD">
        <w:trPr>
          <w:trHeight w:val="77"/>
          <w:jc w:val="center"/>
        </w:trPr>
        <w:tc>
          <w:tcPr>
            <w:tcW w:w="1425" w:type="dxa"/>
            <w:tcBorders>
              <w:top w:val="nil"/>
              <w:bottom w:val="nil"/>
              <w:right w:val="nil"/>
            </w:tcBorders>
          </w:tcPr>
          <w:p w14:paraId="7FD30B0E" w14:textId="77777777" w:rsidR="00E543CA" w:rsidRPr="00A37B93" w:rsidRDefault="00E543CA" w:rsidP="006153AD">
            <w:pPr>
              <w:rPr>
                <w:rFonts w:ascii="Times New Roman" w:hAnsi="Times New Roman"/>
                <w:lang w:val="id-ID"/>
              </w:rPr>
            </w:pPr>
            <w:r w:rsidRPr="00A37B93">
              <w:rPr>
                <w:rFonts w:ascii="Times New Roman" w:hAnsi="Times New Roman"/>
                <w:lang w:val="id-ID"/>
              </w:rPr>
              <w:t>Tidak Berpenghasilan</w:t>
            </w:r>
          </w:p>
        </w:tc>
        <w:tc>
          <w:tcPr>
            <w:tcW w:w="1036" w:type="dxa"/>
            <w:tcBorders>
              <w:top w:val="nil"/>
              <w:left w:val="nil"/>
              <w:bottom w:val="nil"/>
              <w:right w:val="nil"/>
            </w:tcBorders>
          </w:tcPr>
          <w:p w14:paraId="5E5C2360"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10</w:t>
            </w:r>
          </w:p>
        </w:tc>
        <w:tc>
          <w:tcPr>
            <w:tcW w:w="797" w:type="dxa"/>
            <w:tcBorders>
              <w:top w:val="nil"/>
              <w:left w:val="nil"/>
              <w:bottom w:val="nil"/>
            </w:tcBorders>
          </w:tcPr>
          <w:p w14:paraId="0FC60D7E"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50.0%</w:t>
            </w:r>
          </w:p>
        </w:tc>
      </w:tr>
      <w:tr w:rsidR="00E543CA" w:rsidRPr="00A37B93" w14:paraId="3D64E13D" w14:textId="77777777" w:rsidTr="00FD47AD">
        <w:trPr>
          <w:trHeight w:val="274"/>
          <w:jc w:val="center"/>
        </w:trPr>
        <w:tc>
          <w:tcPr>
            <w:tcW w:w="1425" w:type="dxa"/>
            <w:tcBorders>
              <w:top w:val="nil"/>
              <w:bottom w:val="nil"/>
              <w:right w:val="nil"/>
            </w:tcBorders>
          </w:tcPr>
          <w:p w14:paraId="74564CF1" w14:textId="77777777" w:rsidR="00E543CA" w:rsidRPr="00A37B93" w:rsidRDefault="00E543CA" w:rsidP="006153AD">
            <w:pPr>
              <w:rPr>
                <w:rFonts w:ascii="Times New Roman" w:hAnsi="Times New Roman"/>
                <w:lang w:val="id-ID"/>
              </w:rPr>
            </w:pPr>
            <w:r w:rsidRPr="00A37B93">
              <w:rPr>
                <w:rFonts w:ascii="Times New Roman" w:hAnsi="Times New Roman"/>
                <w:lang w:val="id-ID"/>
              </w:rPr>
              <w:t>&lt;1 Juta</w:t>
            </w:r>
          </w:p>
        </w:tc>
        <w:tc>
          <w:tcPr>
            <w:tcW w:w="1036" w:type="dxa"/>
            <w:tcBorders>
              <w:top w:val="nil"/>
              <w:left w:val="nil"/>
              <w:bottom w:val="nil"/>
              <w:right w:val="nil"/>
            </w:tcBorders>
          </w:tcPr>
          <w:p w14:paraId="2DD2BBED"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4</w:t>
            </w:r>
          </w:p>
        </w:tc>
        <w:tc>
          <w:tcPr>
            <w:tcW w:w="797" w:type="dxa"/>
            <w:tcBorders>
              <w:top w:val="nil"/>
              <w:left w:val="nil"/>
              <w:bottom w:val="nil"/>
            </w:tcBorders>
          </w:tcPr>
          <w:p w14:paraId="08804F0A"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20.0%</w:t>
            </w:r>
          </w:p>
        </w:tc>
      </w:tr>
      <w:tr w:rsidR="00E543CA" w:rsidRPr="00A37B93" w14:paraId="1AF2C093" w14:textId="77777777" w:rsidTr="00FD47AD">
        <w:trPr>
          <w:trHeight w:val="253"/>
          <w:jc w:val="center"/>
        </w:trPr>
        <w:tc>
          <w:tcPr>
            <w:tcW w:w="1425" w:type="dxa"/>
            <w:tcBorders>
              <w:top w:val="nil"/>
              <w:bottom w:val="nil"/>
              <w:right w:val="nil"/>
            </w:tcBorders>
          </w:tcPr>
          <w:p w14:paraId="6221BA40" w14:textId="77777777" w:rsidR="00E543CA" w:rsidRPr="00A37B93" w:rsidRDefault="00E543CA" w:rsidP="006153AD">
            <w:pPr>
              <w:rPr>
                <w:rFonts w:ascii="Times New Roman" w:hAnsi="Times New Roman"/>
                <w:lang w:val="id-ID"/>
              </w:rPr>
            </w:pPr>
            <w:r w:rsidRPr="00A37B93">
              <w:rPr>
                <w:rFonts w:ascii="Times New Roman" w:hAnsi="Times New Roman"/>
                <w:lang w:val="id-ID"/>
              </w:rPr>
              <w:t>1-3 Juta</w:t>
            </w:r>
          </w:p>
        </w:tc>
        <w:tc>
          <w:tcPr>
            <w:tcW w:w="1036" w:type="dxa"/>
            <w:tcBorders>
              <w:top w:val="nil"/>
              <w:left w:val="nil"/>
              <w:bottom w:val="nil"/>
              <w:right w:val="nil"/>
            </w:tcBorders>
          </w:tcPr>
          <w:p w14:paraId="42F301F7"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3</w:t>
            </w:r>
          </w:p>
        </w:tc>
        <w:tc>
          <w:tcPr>
            <w:tcW w:w="797" w:type="dxa"/>
            <w:tcBorders>
              <w:top w:val="nil"/>
              <w:left w:val="nil"/>
              <w:bottom w:val="nil"/>
            </w:tcBorders>
          </w:tcPr>
          <w:p w14:paraId="7F9F3CF7"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15.0%</w:t>
            </w:r>
          </w:p>
        </w:tc>
      </w:tr>
      <w:tr w:rsidR="00E543CA" w:rsidRPr="00A37B93" w14:paraId="676B2352" w14:textId="77777777" w:rsidTr="00FD47AD">
        <w:trPr>
          <w:trHeight w:val="253"/>
          <w:jc w:val="center"/>
        </w:trPr>
        <w:tc>
          <w:tcPr>
            <w:tcW w:w="1425" w:type="dxa"/>
            <w:tcBorders>
              <w:top w:val="nil"/>
              <w:bottom w:val="nil"/>
              <w:right w:val="nil"/>
            </w:tcBorders>
          </w:tcPr>
          <w:p w14:paraId="6DD29028" w14:textId="77777777" w:rsidR="00E543CA" w:rsidRPr="00A37B93" w:rsidRDefault="00E543CA" w:rsidP="006153AD">
            <w:pPr>
              <w:rPr>
                <w:rFonts w:ascii="Times New Roman" w:hAnsi="Times New Roman"/>
                <w:lang w:val="id-ID"/>
              </w:rPr>
            </w:pPr>
            <w:r w:rsidRPr="00A37B93">
              <w:rPr>
                <w:rFonts w:ascii="Times New Roman" w:hAnsi="Times New Roman"/>
                <w:lang w:val="id-ID"/>
              </w:rPr>
              <w:t>3-5 Juta</w:t>
            </w:r>
          </w:p>
        </w:tc>
        <w:tc>
          <w:tcPr>
            <w:tcW w:w="1036" w:type="dxa"/>
            <w:tcBorders>
              <w:top w:val="nil"/>
              <w:left w:val="nil"/>
              <w:bottom w:val="nil"/>
              <w:right w:val="nil"/>
            </w:tcBorders>
          </w:tcPr>
          <w:p w14:paraId="41F136AF"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w:t>
            </w:r>
          </w:p>
        </w:tc>
        <w:tc>
          <w:tcPr>
            <w:tcW w:w="797" w:type="dxa"/>
            <w:tcBorders>
              <w:top w:val="nil"/>
              <w:left w:val="nil"/>
              <w:bottom w:val="nil"/>
            </w:tcBorders>
          </w:tcPr>
          <w:p w14:paraId="5DCB9DA1"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10.0%</w:t>
            </w:r>
          </w:p>
        </w:tc>
      </w:tr>
      <w:tr w:rsidR="00E543CA" w:rsidRPr="00A37B93" w14:paraId="1FD00CD7" w14:textId="77777777" w:rsidTr="00FD47AD">
        <w:trPr>
          <w:trHeight w:val="253"/>
          <w:jc w:val="center"/>
        </w:trPr>
        <w:tc>
          <w:tcPr>
            <w:tcW w:w="1425" w:type="dxa"/>
            <w:tcBorders>
              <w:top w:val="nil"/>
              <w:bottom w:val="nil"/>
              <w:right w:val="nil"/>
            </w:tcBorders>
          </w:tcPr>
          <w:p w14:paraId="1436E7F8" w14:textId="77777777" w:rsidR="00E543CA" w:rsidRPr="00A37B93" w:rsidRDefault="00E543CA" w:rsidP="006153AD">
            <w:pPr>
              <w:rPr>
                <w:rFonts w:ascii="Times New Roman" w:hAnsi="Times New Roman"/>
                <w:lang w:val="id-ID"/>
              </w:rPr>
            </w:pPr>
            <w:r w:rsidRPr="00A37B93">
              <w:rPr>
                <w:rFonts w:ascii="Times New Roman" w:hAnsi="Times New Roman"/>
                <w:lang w:val="id-ID"/>
              </w:rPr>
              <w:t>&gt;5 Juta</w:t>
            </w:r>
          </w:p>
        </w:tc>
        <w:tc>
          <w:tcPr>
            <w:tcW w:w="1036" w:type="dxa"/>
            <w:tcBorders>
              <w:top w:val="nil"/>
              <w:left w:val="nil"/>
              <w:bottom w:val="nil"/>
              <w:right w:val="nil"/>
            </w:tcBorders>
          </w:tcPr>
          <w:p w14:paraId="196DCD25"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w:t>
            </w:r>
          </w:p>
        </w:tc>
        <w:tc>
          <w:tcPr>
            <w:tcW w:w="797" w:type="dxa"/>
            <w:tcBorders>
              <w:top w:val="nil"/>
              <w:left w:val="nil"/>
              <w:bottom w:val="nil"/>
            </w:tcBorders>
          </w:tcPr>
          <w:p w14:paraId="2463B2D3"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5.0%</w:t>
            </w:r>
          </w:p>
        </w:tc>
      </w:tr>
      <w:tr w:rsidR="00E543CA" w:rsidRPr="00A37B93" w14:paraId="3A4E07ED" w14:textId="77777777" w:rsidTr="00FD47AD">
        <w:trPr>
          <w:trHeight w:val="77"/>
          <w:jc w:val="center"/>
        </w:trPr>
        <w:tc>
          <w:tcPr>
            <w:tcW w:w="1425" w:type="dxa"/>
            <w:tcBorders>
              <w:top w:val="nil"/>
              <w:bottom w:val="nil"/>
              <w:right w:val="nil"/>
            </w:tcBorders>
          </w:tcPr>
          <w:p w14:paraId="0B8952D3" w14:textId="77777777" w:rsidR="00E543CA" w:rsidRPr="00A37B93" w:rsidRDefault="00E543CA" w:rsidP="006153AD">
            <w:pPr>
              <w:rPr>
                <w:rFonts w:ascii="Times New Roman" w:hAnsi="Times New Roman"/>
                <w:lang w:val="id-ID"/>
              </w:rPr>
            </w:pPr>
            <w:r w:rsidRPr="00A37B93">
              <w:rPr>
                <w:rFonts w:ascii="Times New Roman" w:hAnsi="Times New Roman"/>
                <w:lang w:val="id-ID"/>
              </w:rPr>
              <w:t>Total</w:t>
            </w:r>
          </w:p>
        </w:tc>
        <w:tc>
          <w:tcPr>
            <w:tcW w:w="1036" w:type="dxa"/>
            <w:tcBorders>
              <w:top w:val="nil"/>
              <w:left w:val="nil"/>
              <w:bottom w:val="nil"/>
              <w:right w:val="nil"/>
            </w:tcBorders>
          </w:tcPr>
          <w:p w14:paraId="2E3B1D67"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20</w:t>
            </w:r>
          </w:p>
        </w:tc>
        <w:tc>
          <w:tcPr>
            <w:tcW w:w="797" w:type="dxa"/>
            <w:tcBorders>
              <w:top w:val="nil"/>
              <w:left w:val="nil"/>
              <w:bottom w:val="nil"/>
            </w:tcBorders>
          </w:tcPr>
          <w:p w14:paraId="2CE3CD77"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100.0%</w:t>
            </w:r>
          </w:p>
        </w:tc>
      </w:tr>
      <w:tr w:rsidR="00E543CA" w:rsidRPr="00A37B93" w14:paraId="4BF95A18" w14:textId="77777777" w:rsidTr="00FD47AD">
        <w:trPr>
          <w:trHeight w:val="77"/>
          <w:jc w:val="center"/>
        </w:trPr>
        <w:tc>
          <w:tcPr>
            <w:tcW w:w="1425" w:type="dxa"/>
            <w:tcBorders>
              <w:top w:val="nil"/>
              <w:bottom w:val="nil"/>
              <w:right w:val="nil"/>
            </w:tcBorders>
          </w:tcPr>
          <w:p w14:paraId="5E92E3B1" w14:textId="77777777" w:rsidR="00E543CA" w:rsidRPr="00A37B93" w:rsidRDefault="00E543CA" w:rsidP="006153AD">
            <w:pPr>
              <w:rPr>
                <w:rFonts w:ascii="Times New Roman" w:hAnsi="Times New Roman"/>
                <w:b/>
                <w:bCs/>
                <w:lang w:val="id-ID"/>
              </w:rPr>
            </w:pPr>
            <w:r w:rsidRPr="00A37B93">
              <w:rPr>
                <w:rFonts w:ascii="Times New Roman" w:hAnsi="Times New Roman"/>
                <w:b/>
                <w:bCs/>
                <w:lang w:val="id-ID"/>
              </w:rPr>
              <w:t>Status Pernikahan</w:t>
            </w:r>
          </w:p>
        </w:tc>
        <w:tc>
          <w:tcPr>
            <w:tcW w:w="1036" w:type="dxa"/>
            <w:tcBorders>
              <w:top w:val="nil"/>
              <w:left w:val="nil"/>
              <w:bottom w:val="nil"/>
              <w:right w:val="nil"/>
            </w:tcBorders>
          </w:tcPr>
          <w:p w14:paraId="4435D9EA" w14:textId="77777777" w:rsidR="00E543CA" w:rsidRPr="00A37B93" w:rsidRDefault="00E543CA" w:rsidP="006153AD">
            <w:pPr>
              <w:jc w:val="center"/>
              <w:rPr>
                <w:rFonts w:ascii="Times New Roman" w:hAnsi="Times New Roman"/>
                <w:lang w:val="id-ID"/>
              </w:rPr>
            </w:pPr>
          </w:p>
        </w:tc>
        <w:tc>
          <w:tcPr>
            <w:tcW w:w="797" w:type="dxa"/>
            <w:tcBorders>
              <w:top w:val="nil"/>
              <w:left w:val="nil"/>
              <w:bottom w:val="nil"/>
            </w:tcBorders>
          </w:tcPr>
          <w:p w14:paraId="60F5ACF7" w14:textId="77777777" w:rsidR="00E543CA" w:rsidRPr="00A37B93" w:rsidRDefault="00E543CA" w:rsidP="006153AD">
            <w:pPr>
              <w:jc w:val="center"/>
              <w:rPr>
                <w:rFonts w:ascii="Times New Roman" w:hAnsi="Times New Roman"/>
                <w:lang w:val="id-ID"/>
              </w:rPr>
            </w:pPr>
          </w:p>
        </w:tc>
      </w:tr>
      <w:tr w:rsidR="00E543CA" w:rsidRPr="00A37B93" w14:paraId="5396107A" w14:textId="77777777" w:rsidTr="00FD47AD">
        <w:trPr>
          <w:trHeight w:val="86"/>
          <w:jc w:val="center"/>
        </w:trPr>
        <w:tc>
          <w:tcPr>
            <w:tcW w:w="1425" w:type="dxa"/>
            <w:tcBorders>
              <w:top w:val="nil"/>
              <w:bottom w:val="nil"/>
              <w:right w:val="nil"/>
            </w:tcBorders>
          </w:tcPr>
          <w:p w14:paraId="380226CE" w14:textId="77777777" w:rsidR="00E543CA" w:rsidRPr="00A37B93" w:rsidRDefault="00E543CA" w:rsidP="006153AD">
            <w:pPr>
              <w:rPr>
                <w:rFonts w:ascii="Times New Roman" w:hAnsi="Times New Roman"/>
                <w:lang w:val="id-ID"/>
              </w:rPr>
            </w:pPr>
            <w:r w:rsidRPr="00A37B93">
              <w:rPr>
                <w:rFonts w:ascii="Times New Roman" w:hAnsi="Times New Roman"/>
                <w:lang w:val="id-ID"/>
              </w:rPr>
              <w:t>Menikah</w:t>
            </w:r>
          </w:p>
        </w:tc>
        <w:tc>
          <w:tcPr>
            <w:tcW w:w="1036" w:type="dxa"/>
            <w:tcBorders>
              <w:top w:val="nil"/>
              <w:left w:val="nil"/>
              <w:bottom w:val="nil"/>
              <w:right w:val="nil"/>
            </w:tcBorders>
          </w:tcPr>
          <w:p w14:paraId="45978FBE"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16</w:t>
            </w:r>
          </w:p>
        </w:tc>
        <w:tc>
          <w:tcPr>
            <w:tcW w:w="797" w:type="dxa"/>
            <w:tcBorders>
              <w:top w:val="nil"/>
              <w:left w:val="nil"/>
              <w:bottom w:val="nil"/>
            </w:tcBorders>
          </w:tcPr>
          <w:p w14:paraId="62723CDF"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80.0%</w:t>
            </w:r>
          </w:p>
        </w:tc>
      </w:tr>
      <w:tr w:rsidR="00E543CA" w:rsidRPr="00A37B93" w14:paraId="15BB91E8" w14:textId="77777777" w:rsidTr="00FD47AD">
        <w:trPr>
          <w:trHeight w:val="77"/>
          <w:jc w:val="center"/>
        </w:trPr>
        <w:tc>
          <w:tcPr>
            <w:tcW w:w="1425" w:type="dxa"/>
            <w:tcBorders>
              <w:top w:val="nil"/>
              <w:bottom w:val="nil"/>
              <w:right w:val="nil"/>
            </w:tcBorders>
          </w:tcPr>
          <w:p w14:paraId="3F02ED84" w14:textId="77777777" w:rsidR="00E543CA" w:rsidRPr="00A37B93" w:rsidRDefault="00E543CA" w:rsidP="006153AD">
            <w:pPr>
              <w:rPr>
                <w:rFonts w:ascii="Times New Roman" w:hAnsi="Times New Roman"/>
                <w:lang w:val="id-ID"/>
              </w:rPr>
            </w:pPr>
            <w:r w:rsidRPr="00A37B93">
              <w:rPr>
                <w:rFonts w:ascii="Times New Roman" w:hAnsi="Times New Roman"/>
                <w:lang w:val="id-ID"/>
              </w:rPr>
              <w:t>Cerai</w:t>
            </w:r>
          </w:p>
        </w:tc>
        <w:tc>
          <w:tcPr>
            <w:tcW w:w="1036" w:type="dxa"/>
            <w:tcBorders>
              <w:top w:val="nil"/>
              <w:left w:val="nil"/>
              <w:bottom w:val="nil"/>
              <w:right w:val="nil"/>
            </w:tcBorders>
          </w:tcPr>
          <w:p w14:paraId="6E5EA895"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w:t>
            </w:r>
          </w:p>
        </w:tc>
        <w:tc>
          <w:tcPr>
            <w:tcW w:w="797" w:type="dxa"/>
            <w:tcBorders>
              <w:top w:val="nil"/>
              <w:left w:val="nil"/>
              <w:bottom w:val="nil"/>
            </w:tcBorders>
          </w:tcPr>
          <w:p w14:paraId="40764ED8"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5.0%</w:t>
            </w:r>
          </w:p>
        </w:tc>
      </w:tr>
      <w:tr w:rsidR="00E543CA" w:rsidRPr="00A37B93" w14:paraId="6C3DA7E7" w14:textId="77777777" w:rsidTr="00FD47AD">
        <w:trPr>
          <w:trHeight w:val="77"/>
          <w:jc w:val="center"/>
        </w:trPr>
        <w:tc>
          <w:tcPr>
            <w:tcW w:w="1425" w:type="dxa"/>
            <w:tcBorders>
              <w:top w:val="nil"/>
              <w:bottom w:val="nil"/>
              <w:right w:val="nil"/>
            </w:tcBorders>
          </w:tcPr>
          <w:p w14:paraId="57D9382A" w14:textId="77777777" w:rsidR="00E543CA" w:rsidRPr="00A37B93" w:rsidRDefault="00E543CA" w:rsidP="006153AD">
            <w:pPr>
              <w:rPr>
                <w:rFonts w:ascii="Times New Roman" w:hAnsi="Times New Roman"/>
                <w:lang w:val="id-ID"/>
              </w:rPr>
            </w:pPr>
            <w:r w:rsidRPr="00A37B93">
              <w:rPr>
                <w:rFonts w:ascii="Times New Roman" w:hAnsi="Times New Roman"/>
                <w:lang w:val="id-ID"/>
              </w:rPr>
              <w:t>Duda/Janda</w:t>
            </w:r>
          </w:p>
        </w:tc>
        <w:tc>
          <w:tcPr>
            <w:tcW w:w="1036" w:type="dxa"/>
            <w:tcBorders>
              <w:top w:val="nil"/>
              <w:left w:val="nil"/>
              <w:bottom w:val="nil"/>
              <w:right w:val="nil"/>
            </w:tcBorders>
          </w:tcPr>
          <w:p w14:paraId="434C76A7"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3</w:t>
            </w:r>
          </w:p>
        </w:tc>
        <w:tc>
          <w:tcPr>
            <w:tcW w:w="797" w:type="dxa"/>
            <w:tcBorders>
              <w:top w:val="nil"/>
              <w:left w:val="nil"/>
              <w:bottom w:val="nil"/>
            </w:tcBorders>
          </w:tcPr>
          <w:p w14:paraId="6770C4E0"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15.0%</w:t>
            </w:r>
          </w:p>
        </w:tc>
      </w:tr>
      <w:tr w:rsidR="00E543CA" w:rsidRPr="00A37B93" w14:paraId="5180D62F" w14:textId="77777777" w:rsidTr="00FD47AD">
        <w:trPr>
          <w:trHeight w:val="77"/>
          <w:jc w:val="center"/>
        </w:trPr>
        <w:tc>
          <w:tcPr>
            <w:tcW w:w="1425" w:type="dxa"/>
            <w:tcBorders>
              <w:top w:val="nil"/>
              <w:bottom w:val="single" w:sz="4" w:space="0" w:color="auto"/>
              <w:right w:val="nil"/>
            </w:tcBorders>
          </w:tcPr>
          <w:p w14:paraId="145F43A7" w14:textId="77777777" w:rsidR="00E543CA" w:rsidRPr="00A37B93" w:rsidRDefault="00E543CA" w:rsidP="006153AD">
            <w:pPr>
              <w:rPr>
                <w:rFonts w:ascii="Times New Roman" w:hAnsi="Times New Roman"/>
                <w:lang w:val="id-ID"/>
              </w:rPr>
            </w:pPr>
            <w:r w:rsidRPr="00A37B93">
              <w:rPr>
                <w:rFonts w:ascii="Times New Roman" w:hAnsi="Times New Roman"/>
                <w:lang w:val="id-ID"/>
              </w:rPr>
              <w:t>Total</w:t>
            </w:r>
          </w:p>
        </w:tc>
        <w:tc>
          <w:tcPr>
            <w:tcW w:w="1036" w:type="dxa"/>
            <w:tcBorders>
              <w:top w:val="nil"/>
              <w:left w:val="nil"/>
              <w:bottom w:val="single" w:sz="4" w:space="0" w:color="auto"/>
              <w:right w:val="nil"/>
            </w:tcBorders>
          </w:tcPr>
          <w:p w14:paraId="25B32587"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20</w:t>
            </w:r>
          </w:p>
        </w:tc>
        <w:tc>
          <w:tcPr>
            <w:tcW w:w="797" w:type="dxa"/>
            <w:tcBorders>
              <w:top w:val="nil"/>
              <w:left w:val="nil"/>
              <w:bottom w:val="single" w:sz="4" w:space="0" w:color="auto"/>
            </w:tcBorders>
          </w:tcPr>
          <w:p w14:paraId="64B366EF" w14:textId="77777777" w:rsidR="00E543CA" w:rsidRPr="00A37B93" w:rsidRDefault="00E543CA" w:rsidP="006153AD">
            <w:pPr>
              <w:jc w:val="center"/>
              <w:rPr>
                <w:rFonts w:ascii="Times New Roman" w:hAnsi="Times New Roman"/>
                <w:lang w:val="id-ID"/>
              </w:rPr>
            </w:pPr>
            <w:r w:rsidRPr="00A37B93">
              <w:rPr>
                <w:rFonts w:ascii="Times New Roman" w:hAnsi="Times New Roman"/>
                <w:lang w:val="id-ID"/>
              </w:rPr>
              <w:t>100.0%</w:t>
            </w:r>
          </w:p>
        </w:tc>
      </w:tr>
    </w:tbl>
    <w:p w14:paraId="118EC4A6" w14:textId="77777777" w:rsidR="00920D56" w:rsidRDefault="00920D56" w:rsidP="006153AD">
      <w:pPr>
        <w:pStyle w:val="NormalWeb"/>
        <w:shd w:val="clear" w:color="auto" w:fill="FFFFFF"/>
        <w:spacing w:before="0" w:beforeAutospacing="0" w:after="0" w:afterAutospacing="0"/>
        <w:ind w:firstLine="720"/>
        <w:jc w:val="both"/>
        <w:rPr>
          <w:color w:val="1F1F1F"/>
          <w:sz w:val="22"/>
          <w:szCs w:val="22"/>
        </w:rPr>
      </w:pPr>
    </w:p>
    <w:p w14:paraId="56A5B079" w14:textId="77777777" w:rsidR="00E543CA" w:rsidRDefault="00E543CA" w:rsidP="006153AD">
      <w:pPr>
        <w:pStyle w:val="NormalWeb"/>
        <w:shd w:val="clear" w:color="auto" w:fill="FFFFFF"/>
        <w:spacing w:before="0" w:beforeAutospacing="0" w:after="0" w:afterAutospacing="0"/>
        <w:ind w:firstLine="720"/>
        <w:jc w:val="both"/>
        <w:rPr>
          <w:color w:val="1F1F1F"/>
          <w:sz w:val="22"/>
          <w:szCs w:val="22"/>
          <w:lang w:val="id-ID"/>
        </w:rPr>
      </w:pPr>
      <w:r w:rsidRPr="006153AD">
        <w:rPr>
          <w:color w:val="1F1F1F"/>
          <w:sz w:val="22"/>
          <w:szCs w:val="22"/>
        </w:rPr>
        <w:t xml:space="preserve">Berdasarkan Tabel 4.2 terlihat bahwa hasil mayoritas responden berada dalam rentang usia 39–48 </w:t>
      </w:r>
      <w:proofErr w:type="gramStart"/>
      <w:r w:rsidRPr="006153AD">
        <w:rPr>
          <w:color w:val="1F1F1F"/>
          <w:sz w:val="22"/>
          <w:szCs w:val="22"/>
        </w:rPr>
        <w:t>tahun  (</w:t>
      </w:r>
      <w:proofErr w:type="gramEnd"/>
      <w:r w:rsidRPr="006153AD">
        <w:rPr>
          <w:color w:val="1F1F1F"/>
          <w:sz w:val="22"/>
          <w:szCs w:val="22"/>
        </w:rPr>
        <w:t>25,0%) dan memiliki jenis kelamin perempuan sebesar  (70,0%). Dari segi pendidikan dengan jumlah proporsi terbesar adalah lulusan SMP dengan mencapai (40</w:t>
      </w:r>
      <w:proofErr w:type="gramStart"/>
      <w:r w:rsidRPr="006153AD">
        <w:rPr>
          <w:color w:val="1F1F1F"/>
          <w:sz w:val="22"/>
          <w:szCs w:val="22"/>
        </w:rPr>
        <w:t>,0</w:t>
      </w:r>
      <w:proofErr w:type="gramEnd"/>
      <w:r w:rsidRPr="006153AD">
        <w:rPr>
          <w:color w:val="1F1F1F"/>
          <w:sz w:val="22"/>
          <w:szCs w:val="22"/>
        </w:rPr>
        <w:t xml:space="preserve">%) dan SMA/SMK (30,0%) di mana hal ini sejalan dengan status pekerjaan responden yang didominasi oleh kelompok ibu rumah tangga (60,0%). Dengan kondisi </w:t>
      </w:r>
      <w:r w:rsidRPr="006153AD">
        <w:rPr>
          <w:color w:val="1F1F1F"/>
          <w:sz w:val="22"/>
          <w:szCs w:val="22"/>
        </w:rPr>
        <w:lastRenderedPageBreak/>
        <w:t>ekonomi responden yang mengindikasikan bahwa sebagian besar tidak berpenghasilan sebesar (50</w:t>
      </w:r>
      <w:proofErr w:type="gramStart"/>
      <w:r w:rsidRPr="006153AD">
        <w:rPr>
          <w:color w:val="1F1F1F"/>
          <w:sz w:val="22"/>
          <w:szCs w:val="22"/>
        </w:rPr>
        <w:t>,0</w:t>
      </w:r>
      <w:proofErr w:type="gramEnd"/>
      <w:r w:rsidRPr="006153AD">
        <w:rPr>
          <w:color w:val="1F1F1F"/>
          <w:sz w:val="22"/>
          <w:szCs w:val="22"/>
        </w:rPr>
        <w:t xml:space="preserve">%) di mana hal ini sejalan dengan status pekerjaan responden yang mayoritas tidak memiliki pendapatan tetap. Selain itu dilihat dari status sipil, mayoritas responden yang telah menikah </w:t>
      </w:r>
      <w:proofErr w:type="gramStart"/>
      <w:r w:rsidRPr="006153AD">
        <w:rPr>
          <w:color w:val="1F1F1F"/>
          <w:sz w:val="22"/>
          <w:szCs w:val="22"/>
        </w:rPr>
        <w:t>sebesar  (</w:t>
      </w:r>
      <w:proofErr w:type="gramEnd"/>
      <w:r w:rsidRPr="006153AD">
        <w:rPr>
          <w:color w:val="1F1F1F"/>
          <w:sz w:val="22"/>
          <w:szCs w:val="22"/>
        </w:rPr>
        <w:t xml:space="preserve">80,0%), sedangkan responden yang berstatus duda/janda sebanyak (15,0%) dan cerai sebesar (5,0%). Secara keseluruhan, data ini menunjukkan bahwa responden didominasi oleh perempuan </w:t>
      </w:r>
      <w:proofErr w:type="gramStart"/>
      <w:r w:rsidRPr="006153AD">
        <w:rPr>
          <w:color w:val="1F1F1F"/>
          <w:sz w:val="22"/>
          <w:szCs w:val="22"/>
        </w:rPr>
        <w:t>usia</w:t>
      </w:r>
      <w:proofErr w:type="gramEnd"/>
      <w:r w:rsidRPr="006153AD">
        <w:rPr>
          <w:color w:val="1F1F1F"/>
          <w:sz w:val="22"/>
          <w:szCs w:val="22"/>
        </w:rPr>
        <w:t xml:space="preserve"> dewasa dengan tingkat pendidikan menengah serta memiliki ketergantungan ekonomi yang cukup tinggi. </w:t>
      </w:r>
      <w:proofErr w:type="gramStart"/>
      <w:r w:rsidRPr="006153AD">
        <w:rPr>
          <w:color w:val="1F1F1F"/>
          <w:sz w:val="22"/>
          <w:szCs w:val="22"/>
        </w:rPr>
        <w:t>Kondisi ini dapat mempengaruhi kemampuan dalam memenuhi kebutuhan nutrisi sehari-hari dan berpotensi meningkatkan risiko terjadinya masalah gizi.</w:t>
      </w:r>
      <w:proofErr w:type="gramEnd"/>
    </w:p>
    <w:p w14:paraId="02127820" w14:textId="77777777" w:rsidR="00F10F5D" w:rsidRPr="00F10F5D" w:rsidRDefault="00F10F5D" w:rsidP="006153AD">
      <w:pPr>
        <w:pStyle w:val="NormalWeb"/>
        <w:shd w:val="clear" w:color="auto" w:fill="FFFFFF"/>
        <w:spacing w:before="0" w:beforeAutospacing="0" w:after="0" w:afterAutospacing="0"/>
        <w:ind w:firstLine="720"/>
        <w:jc w:val="both"/>
        <w:rPr>
          <w:color w:val="1F1F1F"/>
          <w:sz w:val="22"/>
          <w:szCs w:val="22"/>
          <w:lang w:val="id-ID"/>
        </w:rPr>
      </w:pPr>
    </w:p>
    <w:p w14:paraId="2D700546" w14:textId="77777777" w:rsidR="00E543CA" w:rsidRPr="006153AD" w:rsidRDefault="00E543CA" w:rsidP="006153AD">
      <w:pPr>
        <w:jc w:val="center"/>
        <w:rPr>
          <w:sz w:val="22"/>
          <w:szCs w:val="22"/>
        </w:rPr>
      </w:pPr>
      <w:bookmarkStart w:id="3" w:name="_Toc225836267"/>
      <w:r w:rsidRPr="006153AD">
        <w:rPr>
          <w:sz w:val="22"/>
          <w:szCs w:val="22"/>
        </w:rPr>
        <w:t xml:space="preserve">Tabel </w:t>
      </w:r>
      <w:r w:rsidRPr="006153AD">
        <w:rPr>
          <w:sz w:val="22"/>
          <w:szCs w:val="22"/>
        </w:rPr>
        <w:fldChar w:fldCharType="begin"/>
      </w:r>
      <w:r w:rsidRPr="006153AD">
        <w:rPr>
          <w:sz w:val="22"/>
          <w:szCs w:val="22"/>
        </w:rPr>
        <w:instrText xml:space="preserve"> STYLEREF 1 \s </w:instrText>
      </w:r>
      <w:r w:rsidRPr="006153AD">
        <w:rPr>
          <w:sz w:val="22"/>
          <w:szCs w:val="22"/>
        </w:rPr>
        <w:fldChar w:fldCharType="separate"/>
      </w:r>
      <w:r w:rsidR="00D22FF3">
        <w:rPr>
          <w:b/>
          <w:bCs/>
          <w:noProof/>
          <w:sz w:val="22"/>
          <w:szCs w:val="22"/>
        </w:rPr>
        <w:t>Error! No text of specified style in document.</w:t>
      </w:r>
      <w:r w:rsidRPr="006153AD">
        <w:rPr>
          <w:sz w:val="22"/>
          <w:szCs w:val="22"/>
        </w:rPr>
        <w:fldChar w:fldCharType="end"/>
      </w:r>
      <w:r w:rsidRPr="006153AD">
        <w:rPr>
          <w:sz w:val="22"/>
          <w:szCs w:val="22"/>
        </w:rPr>
        <w:t>.3 Kuesioner Nilai Nutrisi Domain 1 Berat Badan (n=20)</w:t>
      </w:r>
      <w:bookmarkEnd w:id="3"/>
    </w:p>
    <w:tbl>
      <w:tblPr>
        <w:tblStyle w:val="TableGrid"/>
        <w:tblW w:w="4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6"/>
        <w:gridCol w:w="994"/>
        <w:gridCol w:w="1444"/>
      </w:tblGrid>
      <w:tr w:rsidR="00E543CA" w:rsidRPr="00A37B93" w14:paraId="0DB0EDB5" w14:textId="77777777" w:rsidTr="00F703C6">
        <w:trPr>
          <w:trHeight w:val="751"/>
        </w:trPr>
        <w:tc>
          <w:tcPr>
            <w:tcW w:w="2036" w:type="dxa"/>
            <w:tcBorders>
              <w:top w:val="single" w:sz="4" w:space="0" w:color="auto"/>
              <w:bottom w:val="single" w:sz="4" w:space="0" w:color="auto"/>
            </w:tcBorders>
          </w:tcPr>
          <w:p w14:paraId="3D8716D0" w14:textId="77777777" w:rsidR="00E543CA" w:rsidRPr="00A37B93" w:rsidRDefault="00E543CA" w:rsidP="00A37B93">
            <w:pPr>
              <w:ind w:left="323" w:firstLine="142"/>
              <w:jc w:val="center"/>
              <w:rPr>
                <w:rFonts w:ascii="Times New Roman" w:hAnsi="Times New Roman"/>
                <w:b/>
                <w:bCs/>
                <w:lang w:val="id-ID"/>
              </w:rPr>
            </w:pPr>
            <w:r w:rsidRPr="00A37B93">
              <w:rPr>
                <w:rFonts w:ascii="Times New Roman" w:hAnsi="Times New Roman"/>
                <w:b/>
                <w:bCs/>
                <w:lang w:val="id-ID"/>
              </w:rPr>
              <w:t>Berat Badan</w:t>
            </w:r>
          </w:p>
        </w:tc>
        <w:tc>
          <w:tcPr>
            <w:tcW w:w="994" w:type="dxa"/>
            <w:tcBorders>
              <w:top w:val="single" w:sz="4" w:space="0" w:color="auto"/>
              <w:bottom w:val="single" w:sz="4" w:space="0" w:color="auto"/>
            </w:tcBorders>
          </w:tcPr>
          <w:p w14:paraId="0282EEE0" w14:textId="77777777" w:rsidR="00E543CA" w:rsidRPr="00A37B93" w:rsidRDefault="00E543CA" w:rsidP="00A37B93">
            <w:pPr>
              <w:ind w:left="323" w:firstLine="142"/>
              <w:jc w:val="center"/>
              <w:rPr>
                <w:rFonts w:ascii="Times New Roman" w:hAnsi="Times New Roman"/>
                <w:b/>
                <w:bCs/>
                <w:lang w:val="id-ID"/>
              </w:rPr>
            </w:pPr>
            <w:r w:rsidRPr="00A37B93">
              <w:rPr>
                <w:rFonts w:ascii="Times New Roman" w:hAnsi="Times New Roman"/>
                <w:b/>
                <w:bCs/>
                <w:lang w:val="id-ID"/>
              </w:rPr>
              <w:t>(n)</w:t>
            </w:r>
          </w:p>
        </w:tc>
        <w:tc>
          <w:tcPr>
            <w:tcW w:w="1444" w:type="dxa"/>
            <w:tcBorders>
              <w:top w:val="single" w:sz="4" w:space="0" w:color="auto"/>
              <w:bottom w:val="single" w:sz="4" w:space="0" w:color="auto"/>
            </w:tcBorders>
          </w:tcPr>
          <w:p w14:paraId="7412BB86" w14:textId="77777777" w:rsidR="00E543CA" w:rsidRPr="00A37B93" w:rsidRDefault="00E543CA" w:rsidP="00A37B93">
            <w:pPr>
              <w:ind w:left="323" w:firstLine="142"/>
              <w:jc w:val="center"/>
              <w:rPr>
                <w:rFonts w:ascii="Times New Roman" w:hAnsi="Times New Roman"/>
                <w:b/>
                <w:bCs/>
                <w:lang w:val="id-ID"/>
              </w:rPr>
            </w:pPr>
            <w:r w:rsidRPr="00A37B93">
              <w:rPr>
                <w:rFonts w:ascii="Times New Roman" w:hAnsi="Times New Roman"/>
                <w:b/>
                <w:bCs/>
                <w:lang w:val="id-ID"/>
              </w:rPr>
              <w:t>%</w:t>
            </w:r>
          </w:p>
        </w:tc>
      </w:tr>
      <w:tr w:rsidR="00E543CA" w:rsidRPr="00A37B93" w14:paraId="6E33913B" w14:textId="77777777" w:rsidTr="00A37B93">
        <w:trPr>
          <w:trHeight w:val="491"/>
        </w:trPr>
        <w:tc>
          <w:tcPr>
            <w:tcW w:w="2036" w:type="dxa"/>
            <w:tcBorders>
              <w:top w:val="single" w:sz="4" w:space="0" w:color="auto"/>
            </w:tcBorders>
          </w:tcPr>
          <w:p w14:paraId="579C040E" w14:textId="77777777" w:rsidR="00E543CA" w:rsidRPr="00A37B93" w:rsidRDefault="00E543CA" w:rsidP="00A37B93">
            <w:pPr>
              <w:ind w:left="323" w:firstLine="142"/>
              <w:jc w:val="center"/>
              <w:rPr>
                <w:rFonts w:ascii="Times New Roman" w:hAnsi="Times New Roman"/>
                <w:lang w:val="id-ID"/>
              </w:rPr>
            </w:pPr>
            <w:r w:rsidRPr="00A37B93">
              <w:rPr>
                <w:rFonts w:ascii="Times New Roman" w:hAnsi="Times New Roman"/>
                <w:lang w:val="id-ID"/>
              </w:rPr>
              <w:t>Gizi Baik/Normal</w:t>
            </w:r>
          </w:p>
        </w:tc>
        <w:tc>
          <w:tcPr>
            <w:tcW w:w="994" w:type="dxa"/>
            <w:tcBorders>
              <w:top w:val="single" w:sz="4" w:space="0" w:color="auto"/>
            </w:tcBorders>
          </w:tcPr>
          <w:p w14:paraId="17547BFC" w14:textId="77777777" w:rsidR="00E543CA" w:rsidRPr="00A37B93" w:rsidRDefault="00E543CA" w:rsidP="00A37B93">
            <w:pPr>
              <w:ind w:left="323" w:firstLine="142"/>
              <w:jc w:val="center"/>
              <w:rPr>
                <w:rFonts w:ascii="Times New Roman" w:hAnsi="Times New Roman"/>
                <w:lang w:val="id-ID"/>
              </w:rPr>
            </w:pPr>
            <w:r w:rsidRPr="00A37B93">
              <w:rPr>
                <w:rFonts w:ascii="Times New Roman" w:hAnsi="Times New Roman"/>
                <w:lang w:val="id-ID"/>
              </w:rPr>
              <w:t>3</w:t>
            </w:r>
          </w:p>
        </w:tc>
        <w:tc>
          <w:tcPr>
            <w:tcW w:w="1444" w:type="dxa"/>
            <w:tcBorders>
              <w:top w:val="single" w:sz="4" w:space="0" w:color="auto"/>
            </w:tcBorders>
          </w:tcPr>
          <w:p w14:paraId="1F251F6E" w14:textId="77777777" w:rsidR="00E543CA" w:rsidRPr="00A37B93" w:rsidRDefault="00E543CA" w:rsidP="00A37B93">
            <w:pPr>
              <w:ind w:left="323" w:firstLine="142"/>
              <w:jc w:val="center"/>
              <w:rPr>
                <w:rFonts w:ascii="Times New Roman" w:hAnsi="Times New Roman"/>
                <w:lang w:val="id-ID"/>
              </w:rPr>
            </w:pPr>
            <w:r w:rsidRPr="00A37B93">
              <w:rPr>
                <w:rFonts w:ascii="Times New Roman" w:hAnsi="Times New Roman"/>
                <w:lang w:val="id-ID"/>
              </w:rPr>
              <w:t>15.0%</w:t>
            </w:r>
          </w:p>
        </w:tc>
      </w:tr>
      <w:tr w:rsidR="00E543CA" w:rsidRPr="00A37B93" w14:paraId="63DFFAAE" w14:textId="77777777" w:rsidTr="00A37B93">
        <w:trPr>
          <w:trHeight w:val="441"/>
        </w:trPr>
        <w:tc>
          <w:tcPr>
            <w:tcW w:w="2036" w:type="dxa"/>
          </w:tcPr>
          <w:p w14:paraId="4B576F35" w14:textId="77777777" w:rsidR="00E543CA" w:rsidRPr="00A37B93" w:rsidRDefault="00E543CA" w:rsidP="00A37B93">
            <w:pPr>
              <w:ind w:left="323" w:firstLine="142"/>
              <w:jc w:val="center"/>
              <w:rPr>
                <w:rFonts w:ascii="Times New Roman" w:hAnsi="Times New Roman"/>
                <w:lang w:val="id-ID"/>
              </w:rPr>
            </w:pPr>
            <w:r w:rsidRPr="00A37B93">
              <w:rPr>
                <w:rFonts w:ascii="Times New Roman" w:hAnsi="Times New Roman"/>
                <w:lang w:val="id-ID"/>
              </w:rPr>
              <w:t>Gizi Ringan/Sedang</w:t>
            </w:r>
          </w:p>
        </w:tc>
        <w:tc>
          <w:tcPr>
            <w:tcW w:w="994" w:type="dxa"/>
          </w:tcPr>
          <w:p w14:paraId="745217F2" w14:textId="77777777" w:rsidR="00E543CA" w:rsidRPr="00A37B93" w:rsidRDefault="00E543CA" w:rsidP="00A37B93">
            <w:pPr>
              <w:ind w:left="323" w:firstLine="142"/>
              <w:jc w:val="center"/>
              <w:rPr>
                <w:rFonts w:ascii="Times New Roman" w:hAnsi="Times New Roman"/>
                <w:lang w:val="id-ID"/>
              </w:rPr>
            </w:pPr>
            <w:r w:rsidRPr="00A37B93">
              <w:rPr>
                <w:rFonts w:ascii="Times New Roman" w:hAnsi="Times New Roman"/>
                <w:lang w:val="id-ID"/>
              </w:rPr>
              <w:t>10</w:t>
            </w:r>
          </w:p>
        </w:tc>
        <w:tc>
          <w:tcPr>
            <w:tcW w:w="1444" w:type="dxa"/>
          </w:tcPr>
          <w:p w14:paraId="0C6D9B00" w14:textId="77777777" w:rsidR="00E543CA" w:rsidRPr="00A37B93" w:rsidRDefault="00E543CA" w:rsidP="00A37B93">
            <w:pPr>
              <w:ind w:left="323" w:firstLine="142"/>
              <w:jc w:val="center"/>
              <w:rPr>
                <w:rFonts w:ascii="Times New Roman" w:hAnsi="Times New Roman"/>
                <w:lang w:val="id-ID"/>
              </w:rPr>
            </w:pPr>
            <w:r w:rsidRPr="00A37B93">
              <w:rPr>
                <w:rFonts w:ascii="Times New Roman" w:hAnsi="Times New Roman"/>
                <w:lang w:val="id-ID"/>
              </w:rPr>
              <w:t>50.0%</w:t>
            </w:r>
          </w:p>
        </w:tc>
      </w:tr>
      <w:tr w:rsidR="00E543CA" w:rsidRPr="00A37B93" w14:paraId="161DEBED" w14:textId="77777777" w:rsidTr="00F10F5D">
        <w:trPr>
          <w:trHeight w:val="246"/>
        </w:trPr>
        <w:tc>
          <w:tcPr>
            <w:tcW w:w="2036" w:type="dxa"/>
          </w:tcPr>
          <w:p w14:paraId="22A0E172" w14:textId="77777777" w:rsidR="00E543CA" w:rsidRPr="00A37B93" w:rsidRDefault="00E543CA" w:rsidP="00A37B93">
            <w:pPr>
              <w:ind w:left="323" w:firstLine="142"/>
              <w:jc w:val="center"/>
              <w:rPr>
                <w:rFonts w:ascii="Times New Roman" w:hAnsi="Times New Roman"/>
                <w:lang w:val="id-ID"/>
              </w:rPr>
            </w:pPr>
            <w:r w:rsidRPr="00A37B93">
              <w:rPr>
                <w:rFonts w:ascii="Times New Roman" w:hAnsi="Times New Roman"/>
                <w:lang w:val="id-ID"/>
              </w:rPr>
              <w:t>Gizi Buruk</w:t>
            </w:r>
          </w:p>
        </w:tc>
        <w:tc>
          <w:tcPr>
            <w:tcW w:w="994" w:type="dxa"/>
          </w:tcPr>
          <w:p w14:paraId="10F58C0A" w14:textId="77777777" w:rsidR="00E543CA" w:rsidRPr="00A37B93" w:rsidRDefault="00E543CA" w:rsidP="00A37B93">
            <w:pPr>
              <w:ind w:left="323" w:firstLine="142"/>
              <w:jc w:val="center"/>
              <w:rPr>
                <w:rFonts w:ascii="Times New Roman" w:hAnsi="Times New Roman"/>
                <w:lang w:val="id-ID"/>
              </w:rPr>
            </w:pPr>
            <w:r w:rsidRPr="00A37B93">
              <w:rPr>
                <w:rFonts w:ascii="Times New Roman" w:hAnsi="Times New Roman"/>
                <w:lang w:val="id-ID"/>
              </w:rPr>
              <w:t>7</w:t>
            </w:r>
          </w:p>
        </w:tc>
        <w:tc>
          <w:tcPr>
            <w:tcW w:w="1444" w:type="dxa"/>
          </w:tcPr>
          <w:p w14:paraId="370A02E5" w14:textId="123170C9" w:rsidR="00E543CA" w:rsidRPr="00A37B93" w:rsidRDefault="00F10F5D" w:rsidP="00A37B93">
            <w:pPr>
              <w:ind w:left="323" w:firstLine="142"/>
              <w:jc w:val="center"/>
              <w:rPr>
                <w:rFonts w:ascii="Times New Roman" w:hAnsi="Times New Roman"/>
                <w:lang w:val="id-ID"/>
              </w:rPr>
            </w:pPr>
            <w:r>
              <w:rPr>
                <w:rFonts w:ascii="Times New Roman" w:hAnsi="Times New Roman"/>
                <w:lang w:val="id-ID"/>
              </w:rPr>
              <w:t>35</w:t>
            </w:r>
            <w:r w:rsidR="00E543CA" w:rsidRPr="00A37B93">
              <w:rPr>
                <w:rFonts w:ascii="Times New Roman" w:hAnsi="Times New Roman"/>
                <w:lang w:val="id-ID"/>
              </w:rPr>
              <w:t>.0%</w:t>
            </w:r>
          </w:p>
        </w:tc>
      </w:tr>
      <w:tr w:rsidR="00E543CA" w:rsidRPr="00A37B93" w14:paraId="7CAFE82C" w14:textId="77777777" w:rsidTr="00A37B93">
        <w:trPr>
          <w:trHeight w:val="363"/>
        </w:trPr>
        <w:tc>
          <w:tcPr>
            <w:tcW w:w="2036" w:type="dxa"/>
            <w:tcBorders>
              <w:bottom w:val="single" w:sz="4" w:space="0" w:color="auto"/>
            </w:tcBorders>
          </w:tcPr>
          <w:p w14:paraId="14F0A9AF" w14:textId="77777777" w:rsidR="00E543CA" w:rsidRPr="00A37B93" w:rsidRDefault="00E543CA" w:rsidP="00A37B93">
            <w:pPr>
              <w:ind w:left="323" w:firstLine="142"/>
              <w:jc w:val="center"/>
              <w:rPr>
                <w:rFonts w:ascii="Times New Roman" w:hAnsi="Times New Roman"/>
                <w:lang w:val="id-ID"/>
              </w:rPr>
            </w:pPr>
            <w:r w:rsidRPr="00A37B93">
              <w:rPr>
                <w:rFonts w:ascii="Times New Roman" w:hAnsi="Times New Roman"/>
                <w:lang w:val="id-ID"/>
              </w:rPr>
              <w:t>Total</w:t>
            </w:r>
          </w:p>
        </w:tc>
        <w:tc>
          <w:tcPr>
            <w:tcW w:w="994" w:type="dxa"/>
            <w:tcBorders>
              <w:bottom w:val="single" w:sz="4" w:space="0" w:color="auto"/>
            </w:tcBorders>
          </w:tcPr>
          <w:p w14:paraId="6FAA5618" w14:textId="77777777" w:rsidR="00E543CA" w:rsidRPr="00A37B93" w:rsidRDefault="00E543CA" w:rsidP="00A37B93">
            <w:pPr>
              <w:ind w:left="323" w:firstLine="142"/>
              <w:jc w:val="center"/>
              <w:rPr>
                <w:rFonts w:ascii="Times New Roman" w:hAnsi="Times New Roman"/>
                <w:lang w:val="id-ID"/>
              </w:rPr>
            </w:pPr>
            <w:r w:rsidRPr="00A37B93">
              <w:rPr>
                <w:rFonts w:ascii="Times New Roman" w:hAnsi="Times New Roman"/>
                <w:lang w:val="id-ID"/>
              </w:rPr>
              <w:t>20</w:t>
            </w:r>
          </w:p>
        </w:tc>
        <w:tc>
          <w:tcPr>
            <w:tcW w:w="1444" w:type="dxa"/>
            <w:tcBorders>
              <w:bottom w:val="single" w:sz="4" w:space="0" w:color="auto"/>
            </w:tcBorders>
          </w:tcPr>
          <w:p w14:paraId="74B5C768" w14:textId="77777777" w:rsidR="00E543CA" w:rsidRPr="00A37B93" w:rsidRDefault="00E543CA" w:rsidP="00A37B93">
            <w:pPr>
              <w:ind w:left="323" w:firstLine="142"/>
              <w:jc w:val="center"/>
              <w:rPr>
                <w:rFonts w:ascii="Times New Roman" w:hAnsi="Times New Roman"/>
                <w:lang w:val="id-ID"/>
              </w:rPr>
            </w:pPr>
            <w:r w:rsidRPr="00A37B93">
              <w:rPr>
                <w:rFonts w:ascii="Times New Roman" w:hAnsi="Times New Roman"/>
                <w:lang w:val="id-ID"/>
              </w:rPr>
              <w:t>100.0%</w:t>
            </w:r>
          </w:p>
        </w:tc>
      </w:tr>
    </w:tbl>
    <w:p w14:paraId="0DC098C1" w14:textId="77777777" w:rsidR="00F10F5D" w:rsidRDefault="00E543CA" w:rsidP="006153AD">
      <w:pPr>
        <w:pStyle w:val="NormalWeb"/>
        <w:shd w:val="clear" w:color="auto" w:fill="FFFFFF"/>
        <w:spacing w:before="0" w:beforeAutospacing="0" w:after="0" w:afterAutospacing="0"/>
        <w:ind w:firstLine="720"/>
        <w:jc w:val="both"/>
        <w:rPr>
          <w:color w:val="1F1F1F"/>
          <w:sz w:val="22"/>
          <w:szCs w:val="22"/>
          <w:lang w:val="id-ID"/>
        </w:rPr>
      </w:pPr>
      <w:r w:rsidRPr="006153AD">
        <w:rPr>
          <w:color w:val="1F1F1F"/>
          <w:sz w:val="22"/>
          <w:szCs w:val="22"/>
        </w:rPr>
        <w:t>Berdasarkan Tabel 4.3 hasil penelitian menunjukkan bahwa sebagian besar responden berada pada kategori gizi ringan/</w:t>
      </w:r>
      <w:proofErr w:type="gramStart"/>
      <w:r w:rsidRPr="006153AD">
        <w:rPr>
          <w:color w:val="1F1F1F"/>
          <w:sz w:val="22"/>
          <w:szCs w:val="22"/>
        </w:rPr>
        <w:t>sedang  (</w:t>
      </w:r>
      <w:proofErr w:type="gramEnd"/>
      <w:r w:rsidRPr="006153AD">
        <w:rPr>
          <w:color w:val="1F1F1F"/>
          <w:sz w:val="22"/>
          <w:szCs w:val="22"/>
        </w:rPr>
        <w:t xml:space="preserve">50,0%), diikuti oleh gizi buruk (35,0%) dan hanya sebagian kecil yang memiliki status gizi baik (15,0%). </w:t>
      </w:r>
    </w:p>
    <w:p w14:paraId="036AE8E2" w14:textId="30B0CD66" w:rsidR="00E543CA" w:rsidRPr="006153AD" w:rsidRDefault="00E543CA" w:rsidP="006153AD">
      <w:pPr>
        <w:pStyle w:val="NormalWeb"/>
        <w:shd w:val="clear" w:color="auto" w:fill="FFFFFF"/>
        <w:spacing w:before="0" w:beforeAutospacing="0" w:after="0" w:afterAutospacing="0"/>
        <w:ind w:firstLine="720"/>
        <w:jc w:val="both"/>
        <w:rPr>
          <w:color w:val="1F1F1F"/>
          <w:sz w:val="22"/>
          <w:szCs w:val="22"/>
        </w:rPr>
      </w:pPr>
      <w:r w:rsidRPr="006153AD">
        <w:rPr>
          <w:color w:val="1F1F1F"/>
          <w:sz w:val="22"/>
          <w:szCs w:val="22"/>
        </w:rPr>
        <w:t xml:space="preserve">Temuan ini mengindikasikan bahwa mayoritas responden mengalami gangguan pada berat badan yang mencerminkan adanya ketidakseimbangan antara asupan energi dan kebutuhan tubuh, penurunan berat badan atau status gizi yang tidak optimal dapat disebabkan oleh berbagai faktor, seperti kurangnya asupan makanan, penyakit kronis, maupun gangguan metabolisme </w:t>
      </w:r>
      <w:r w:rsidRPr="006153AD">
        <w:rPr>
          <w:color w:val="1F1F1F"/>
          <w:sz w:val="22"/>
          <w:szCs w:val="22"/>
        </w:rPr>
        <w:fldChar w:fldCharType="begin" w:fldLock="1"/>
      </w:r>
      <w:r w:rsidRPr="006153AD">
        <w:rPr>
          <w:color w:val="1F1F1F"/>
          <w:sz w:val="22"/>
          <w:szCs w:val="22"/>
        </w:rPr>
        <w:instrText>ADDIN CSL_CITATION {"citationItems":[{"id":"ITEM-1","itemData":{"author":[{"dropping-particle":"","family":"Nasution","given":"Huwainan Nisa","non-dropping-particle":"","parse-names":false,"suffix":""},{"dropping-particle":"","family":"Ashariati","given":"Ami","non-dropping-particle":"","parse-names":false,"suffix":""},{"dropping-particle":"","family":"Kedokteran","given":"Fakultas","non-dropping-particle":"","parse-names":false,"suffix":""},{"dropping-particle":"","family":"Muhammadiyah","given":"Universitas","non-dropping-particle":"","parse-names":false,"suffix":""},{"dropping-particle":"","family":"Airlangga-surabaya","given":"Fakultas Kedokteran Universitas","non-dropping-particle":"","parse-names":false,"suffix":""}],"id":"ITEM-1","issue":"2","issued":{"date-parts":[["2021"]]},"page":"189-196","title":"Kaheksia kanker dan tatalaksana nutrisi pada penderita kanker 1","type":"article-journal","volume":"21"},"uris":["http://www.mendeley.com/documents/?uuid=65880f8c-59db-405b-9363-826785ece20e"]}],"mendeley":{"formattedCitation":"(Nasution et al., 2021)","plainTextFormattedCitation":"(Nasution et al., 2021)","previouslyFormattedCitation":"(Nasution et al., 2021)"},"properties":{"noteIndex":0},"schema":"https://github.com/citation-style-language/schema/raw/master/csl-citation.json"}</w:instrText>
      </w:r>
      <w:r w:rsidRPr="006153AD">
        <w:rPr>
          <w:color w:val="1F1F1F"/>
          <w:sz w:val="22"/>
          <w:szCs w:val="22"/>
        </w:rPr>
        <w:fldChar w:fldCharType="separate"/>
      </w:r>
      <w:r w:rsidRPr="006153AD">
        <w:rPr>
          <w:noProof/>
          <w:color w:val="1F1F1F"/>
          <w:sz w:val="22"/>
          <w:szCs w:val="22"/>
        </w:rPr>
        <w:t>(Nasution et al., 2021)</w:t>
      </w:r>
      <w:r w:rsidRPr="006153AD">
        <w:rPr>
          <w:color w:val="1F1F1F"/>
          <w:sz w:val="22"/>
          <w:szCs w:val="22"/>
        </w:rPr>
        <w:fldChar w:fldCharType="end"/>
      </w:r>
      <w:r w:rsidRPr="006153AD">
        <w:rPr>
          <w:color w:val="1F1F1F"/>
          <w:sz w:val="22"/>
          <w:szCs w:val="22"/>
        </w:rPr>
        <w:t xml:space="preserve">. </w:t>
      </w:r>
      <w:proofErr w:type="gramStart"/>
      <w:r w:rsidRPr="006153AD">
        <w:rPr>
          <w:color w:val="1F1F1F"/>
          <w:sz w:val="22"/>
          <w:szCs w:val="22"/>
        </w:rPr>
        <w:t>Dalam konteks klinis, perubahan berat badan merupakan indikator awal yang penting dalam menilai status nutrisi seseorang.</w:t>
      </w:r>
      <w:proofErr w:type="gramEnd"/>
      <w:r w:rsidRPr="006153AD">
        <w:rPr>
          <w:color w:val="1F1F1F"/>
          <w:sz w:val="22"/>
          <w:szCs w:val="22"/>
        </w:rPr>
        <w:t xml:space="preserve"> </w:t>
      </w:r>
      <w:proofErr w:type="gramStart"/>
      <w:r w:rsidRPr="006153AD">
        <w:rPr>
          <w:color w:val="1F1F1F"/>
          <w:sz w:val="22"/>
          <w:szCs w:val="22"/>
        </w:rPr>
        <w:t xml:space="preserve">Tingginya angka gizi ringan hingga buruk dalam penelitian ini menunjukkan bahwa responden berisiko mengalami malnutrisi, yang jika tidak ditangani dapat berdampak pada penurunan daya tahan tubuh, gangguan fungsi organ, serta memperburuk kondisi kesehatan secara </w:t>
      </w:r>
      <w:r w:rsidRPr="006153AD">
        <w:rPr>
          <w:color w:val="1F1F1F"/>
          <w:sz w:val="22"/>
          <w:szCs w:val="22"/>
        </w:rPr>
        <w:lastRenderedPageBreak/>
        <w:t>keseluruhan.</w:t>
      </w:r>
      <w:proofErr w:type="gramEnd"/>
    </w:p>
    <w:p w14:paraId="57190C4D" w14:textId="77777777" w:rsidR="00F10F5D" w:rsidRDefault="00F10F5D" w:rsidP="006153AD">
      <w:pPr>
        <w:jc w:val="center"/>
        <w:rPr>
          <w:sz w:val="22"/>
          <w:szCs w:val="22"/>
          <w:lang w:val="id-ID"/>
        </w:rPr>
      </w:pPr>
      <w:bookmarkStart w:id="4" w:name="_Toc225836268"/>
    </w:p>
    <w:p w14:paraId="3774D42F" w14:textId="77777777" w:rsidR="00E543CA" w:rsidRPr="006153AD" w:rsidRDefault="00E543CA" w:rsidP="006153AD">
      <w:pPr>
        <w:jc w:val="center"/>
        <w:rPr>
          <w:sz w:val="22"/>
          <w:szCs w:val="22"/>
        </w:rPr>
      </w:pPr>
      <w:r w:rsidRPr="006153AD">
        <w:rPr>
          <w:sz w:val="22"/>
          <w:szCs w:val="22"/>
        </w:rPr>
        <w:t xml:space="preserve">Tabel </w:t>
      </w:r>
      <w:r w:rsidRPr="006153AD">
        <w:rPr>
          <w:sz w:val="22"/>
          <w:szCs w:val="22"/>
        </w:rPr>
        <w:fldChar w:fldCharType="begin"/>
      </w:r>
      <w:r w:rsidRPr="006153AD">
        <w:rPr>
          <w:sz w:val="22"/>
          <w:szCs w:val="22"/>
        </w:rPr>
        <w:instrText xml:space="preserve"> STYLEREF 1 \s </w:instrText>
      </w:r>
      <w:r w:rsidRPr="006153AD">
        <w:rPr>
          <w:sz w:val="22"/>
          <w:szCs w:val="22"/>
        </w:rPr>
        <w:fldChar w:fldCharType="separate"/>
      </w:r>
      <w:r w:rsidR="00D22FF3">
        <w:rPr>
          <w:b/>
          <w:bCs/>
          <w:noProof/>
          <w:sz w:val="22"/>
          <w:szCs w:val="22"/>
        </w:rPr>
        <w:t>Error! No text of specified style in document.</w:t>
      </w:r>
      <w:r w:rsidRPr="006153AD">
        <w:rPr>
          <w:sz w:val="22"/>
          <w:szCs w:val="22"/>
        </w:rPr>
        <w:fldChar w:fldCharType="end"/>
      </w:r>
      <w:r w:rsidRPr="006153AD">
        <w:rPr>
          <w:sz w:val="22"/>
          <w:szCs w:val="22"/>
        </w:rPr>
        <w:t xml:space="preserve">.4 Kuesioner Nilai Nutrisi Domain </w:t>
      </w:r>
      <w:proofErr w:type="gramStart"/>
      <w:r w:rsidRPr="006153AD">
        <w:rPr>
          <w:sz w:val="22"/>
          <w:szCs w:val="22"/>
        </w:rPr>
        <w:t>2  Asupan</w:t>
      </w:r>
      <w:proofErr w:type="gramEnd"/>
      <w:r w:rsidRPr="006153AD">
        <w:rPr>
          <w:sz w:val="22"/>
          <w:szCs w:val="22"/>
        </w:rPr>
        <w:t xml:space="preserve"> Makan (n=20)</w:t>
      </w:r>
      <w:bookmarkEnd w:id="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1381"/>
        <w:gridCol w:w="1303"/>
      </w:tblGrid>
      <w:tr w:rsidR="00E543CA" w:rsidRPr="00F10F5D" w14:paraId="6987E9F5" w14:textId="77777777" w:rsidTr="00F703C6">
        <w:trPr>
          <w:jc w:val="center"/>
        </w:trPr>
        <w:tc>
          <w:tcPr>
            <w:tcW w:w="2075" w:type="dxa"/>
            <w:tcBorders>
              <w:top w:val="single" w:sz="4" w:space="0" w:color="auto"/>
              <w:bottom w:val="single" w:sz="4" w:space="0" w:color="auto"/>
            </w:tcBorders>
          </w:tcPr>
          <w:p w14:paraId="17FCDDC0" w14:textId="77777777" w:rsidR="00E543CA" w:rsidRPr="00F10F5D" w:rsidRDefault="00E543CA" w:rsidP="006153AD">
            <w:pPr>
              <w:jc w:val="center"/>
              <w:rPr>
                <w:rFonts w:ascii="Times New Roman" w:hAnsi="Times New Roman"/>
                <w:b/>
                <w:bCs/>
                <w:lang w:val="id-ID"/>
              </w:rPr>
            </w:pPr>
            <w:r w:rsidRPr="00F10F5D">
              <w:rPr>
                <w:rFonts w:ascii="Times New Roman" w:hAnsi="Times New Roman"/>
                <w:b/>
                <w:bCs/>
                <w:lang w:val="id-ID"/>
              </w:rPr>
              <w:t>Asupan Makan</w:t>
            </w:r>
          </w:p>
        </w:tc>
        <w:tc>
          <w:tcPr>
            <w:tcW w:w="2641" w:type="dxa"/>
            <w:tcBorders>
              <w:top w:val="single" w:sz="4" w:space="0" w:color="auto"/>
              <w:bottom w:val="single" w:sz="4" w:space="0" w:color="auto"/>
            </w:tcBorders>
          </w:tcPr>
          <w:p w14:paraId="5AD3DDF3" w14:textId="77777777" w:rsidR="00E543CA" w:rsidRPr="00F10F5D" w:rsidRDefault="00E543CA" w:rsidP="006153AD">
            <w:pPr>
              <w:jc w:val="center"/>
              <w:rPr>
                <w:rFonts w:ascii="Times New Roman" w:hAnsi="Times New Roman"/>
                <w:b/>
                <w:bCs/>
                <w:lang w:val="id-ID"/>
              </w:rPr>
            </w:pPr>
            <w:r w:rsidRPr="00F10F5D">
              <w:rPr>
                <w:rFonts w:ascii="Times New Roman" w:hAnsi="Times New Roman"/>
                <w:b/>
                <w:bCs/>
                <w:lang w:val="id-ID"/>
              </w:rPr>
              <w:t>(n)</w:t>
            </w:r>
          </w:p>
        </w:tc>
        <w:tc>
          <w:tcPr>
            <w:tcW w:w="1947" w:type="dxa"/>
            <w:tcBorders>
              <w:top w:val="single" w:sz="4" w:space="0" w:color="auto"/>
              <w:bottom w:val="single" w:sz="4" w:space="0" w:color="auto"/>
            </w:tcBorders>
          </w:tcPr>
          <w:p w14:paraId="0CF68CE5" w14:textId="77777777" w:rsidR="00E543CA" w:rsidRPr="00F10F5D" w:rsidRDefault="00E543CA" w:rsidP="006153AD">
            <w:pPr>
              <w:jc w:val="center"/>
              <w:rPr>
                <w:rFonts w:ascii="Times New Roman" w:hAnsi="Times New Roman"/>
                <w:b/>
                <w:bCs/>
                <w:lang w:val="id-ID"/>
              </w:rPr>
            </w:pPr>
            <w:r w:rsidRPr="00F10F5D">
              <w:rPr>
                <w:rFonts w:ascii="Times New Roman" w:hAnsi="Times New Roman"/>
                <w:b/>
                <w:bCs/>
                <w:lang w:val="id-ID"/>
              </w:rPr>
              <w:t>%</w:t>
            </w:r>
          </w:p>
        </w:tc>
      </w:tr>
      <w:tr w:rsidR="00E543CA" w:rsidRPr="00F10F5D" w14:paraId="1C6FD910" w14:textId="77777777" w:rsidTr="00F703C6">
        <w:trPr>
          <w:jc w:val="center"/>
        </w:trPr>
        <w:tc>
          <w:tcPr>
            <w:tcW w:w="2075" w:type="dxa"/>
            <w:tcBorders>
              <w:top w:val="single" w:sz="4" w:space="0" w:color="auto"/>
            </w:tcBorders>
          </w:tcPr>
          <w:p w14:paraId="1E2741C2"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Gizi Baik/Normal</w:t>
            </w:r>
          </w:p>
        </w:tc>
        <w:tc>
          <w:tcPr>
            <w:tcW w:w="2641" w:type="dxa"/>
            <w:tcBorders>
              <w:top w:val="single" w:sz="4" w:space="0" w:color="auto"/>
            </w:tcBorders>
          </w:tcPr>
          <w:p w14:paraId="63127C93"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5</w:t>
            </w:r>
          </w:p>
        </w:tc>
        <w:tc>
          <w:tcPr>
            <w:tcW w:w="1947" w:type="dxa"/>
            <w:tcBorders>
              <w:top w:val="single" w:sz="4" w:space="0" w:color="auto"/>
            </w:tcBorders>
          </w:tcPr>
          <w:p w14:paraId="57421015"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25.0%</w:t>
            </w:r>
          </w:p>
        </w:tc>
      </w:tr>
      <w:tr w:rsidR="00E543CA" w:rsidRPr="00F10F5D" w14:paraId="0F81A6E7" w14:textId="77777777" w:rsidTr="00F703C6">
        <w:trPr>
          <w:jc w:val="center"/>
        </w:trPr>
        <w:tc>
          <w:tcPr>
            <w:tcW w:w="2075" w:type="dxa"/>
          </w:tcPr>
          <w:p w14:paraId="09E6EFB7"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Gizi Ringan/Sedang</w:t>
            </w:r>
          </w:p>
        </w:tc>
        <w:tc>
          <w:tcPr>
            <w:tcW w:w="2641" w:type="dxa"/>
          </w:tcPr>
          <w:p w14:paraId="7B86FC18"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12</w:t>
            </w:r>
          </w:p>
        </w:tc>
        <w:tc>
          <w:tcPr>
            <w:tcW w:w="1947" w:type="dxa"/>
          </w:tcPr>
          <w:p w14:paraId="048222E7"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60.0%</w:t>
            </w:r>
          </w:p>
        </w:tc>
      </w:tr>
      <w:tr w:rsidR="00E543CA" w:rsidRPr="00F10F5D" w14:paraId="7E9744E2" w14:textId="77777777" w:rsidTr="00F703C6">
        <w:trPr>
          <w:jc w:val="center"/>
        </w:trPr>
        <w:tc>
          <w:tcPr>
            <w:tcW w:w="2075" w:type="dxa"/>
          </w:tcPr>
          <w:p w14:paraId="7BEC9B1F"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Gizi Buruk</w:t>
            </w:r>
          </w:p>
        </w:tc>
        <w:tc>
          <w:tcPr>
            <w:tcW w:w="2641" w:type="dxa"/>
          </w:tcPr>
          <w:p w14:paraId="3F07DEBC"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3</w:t>
            </w:r>
          </w:p>
        </w:tc>
        <w:tc>
          <w:tcPr>
            <w:tcW w:w="1947" w:type="dxa"/>
          </w:tcPr>
          <w:p w14:paraId="2BF8B07C"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15.0%</w:t>
            </w:r>
          </w:p>
        </w:tc>
      </w:tr>
      <w:tr w:rsidR="00E543CA" w:rsidRPr="00F10F5D" w14:paraId="693897DE" w14:textId="77777777" w:rsidTr="00F703C6">
        <w:trPr>
          <w:jc w:val="center"/>
        </w:trPr>
        <w:tc>
          <w:tcPr>
            <w:tcW w:w="2075" w:type="dxa"/>
            <w:tcBorders>
              <w:bottom w:val="single" w:sz="4" w:space="0" w:color="auto"/>
            </w:tcBorders>
          </w:tcPr>
          <w:p w14:paraId="0C3A8904"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Total</w:t>
            </w:r>
          </w:p>
        </w:tc>
        <w:tc>
          <w:tcPr>
            <w:tcW w:w="2641" w:type="dxa"/>
            <w:tcBorders>
              <w:bottom w:val="single" w:sz="4" w:space="0" w:color="auto"/>
            </w:tcBorders>
          </w:tcPr>
          <w:p w14:paraId="3CA71C1F"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20</w:t>
            </w:r>
          </w:p>
        </w:tc>
        <w:tc>
          <w:tcPr>
            <w:tcW w:w="1947" w:type="dxa"/>
            <w:tcBorders>
              <w:bottom w:val="single" w:sz="4" w:space="0" w:color="auto"/>
            </w:tcBorders>
          </w:tcPr>
          <w:p w14:paraId="71EE978B"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100.0%</w:t>
            </w:r>
          </w:p>
        </w:tc>
      </w:tr>
    </w:tbl>
    <w:p w14:paraId="38B4E499" w14:textId="77777777" w:rsidR="00F10F5D" w:rsidRDefault="00E543CA" w:rsidP="006153AD">
      <w:pPr>
        <w:pStyle w:val="NormalWeb"/>
        <w:shd w:val="clear" w:color="auto" w:fill="FFFFFF"/>
        <w:spacing w:before="0" w:beforeAutospacing="0" w:after="0" w:afterAutospacing="0"/>
        <w:ind w:firstLine="720"/>
        <w:jc w:val="both"/>
        <w:rPr>
          <w:color w:val="1F1F1F"/>
          <w:sz w:val="22"/>
          <w:szCs w:val="22"/>
          <w:shd w:val="clear" w:color="auto" w:fill="FFFFFF"/>
          <w:lang w:val="id-ID"/>
        </w:rPr>
      </w:pPr>
      <w:r w:rsidRPr="006153AD">
        <w:rPr>
          <w:color w:val="1F1F1F"/>
          <w:sz w:val="22"/>
          <w:szCs w:val="22"/>
          <w:shd w:val="clear" w:color="auto" w:fill="FFFFFF"/>
        </w:rPr>
        <w:t>Berdasarkan Tabel 4.4 di atas, mayoritas responden memiliki asupan makanan dalam kategori gizi ringan/</w:t>
      </w:r>
      <w:proofErr w:type="gramStart"/>
      <w:r w:rsidRPr="006153AD">
        <w:rPr>
          <w:color w:val="1F1F1F"/>
          <w:sz w:val="22"/>
          <w:szCs w:val="22"/>
          <w:shd w:val="clear" w:color="auto" w:fill="FFFFFF"/>
        </w:rPr>
        <w:t>sedang  (</w:t>
      </w:r>
      <w:proofErr w:type="gramEnd"/>
      <w:r w:rsidRPr="006153AD">
        <w:rPr>
          <w:color w:val="1F1F1F"/>
          <w:sz w:val="22"/>
          <w:szCs w:val="22"/>
          <w:shd w:val="clear" w:color="auto" w:fill="FFFFFF"/>
        </w:rPr>
        <w:t xml:space="preserve">60,0%), diikuti oleh gizi baik (25,0%) dan gizi buruk  (15,0%). </w:t>
      </w:r>
    </w:p>
    <w:p w14:paraId="343CA55B" w14:textId="736C0223" w:rsidR="00FF4CE8" w:rsidRDefault="00E543CA" w:rsidP="00F10F5D">
      <w:pPr>
        <w:pStyle w:val="NormalWeb"/>
        <w:shd w:val="clear" w:color="auto" w:fill="FFFFFF"/>
        <w:spacing w:before="0" w:beforeAutospacing="0" w:after="0" w:afterAutospacing="0"/>
        <w:ind w:firstLine="720"/>
        <w:jc w:val="both"/>
        <w:rPr>
          <w:color w:val="1F1F1F"/>
          <w:sz w:val="22"/>
          <w:szCs w:val="22"/>
          <w:shd w:val="clear" w:color="auto" w:fill="FFFFFF"/>
          <w:lang w:val="id-ID"/>
        </w:rPr>
      </w:pPr>
      <w:proofErr w:type="gramStart"/>
      <w:r w:rsidRPr="006153AD">
        <w:rPr>
          <w:color w:val="1F1F1F"/>
          <w:sz w:val="22"/>
          <w:szCs w:val="22"/>
          <w:shd w:val="clear" w:color="auto" w:fill="FFFFFF"/>
        </w:rPr>
        <w:t>Hal ini menunjukkan bahwa sebagian besar responden belum memenuhi kebutuhan nutrisi harian secara optimal.</w:t>
      </w:r>
      <w:proofErr w:type="gramEnd"/>
      <w:r w:rsidRPr="006153AD">
        <w:rPr>
          <w:color w:val="1F1F1F"/>
          <w:sz w:val="22"/>
          <w:szCs w:val="22"/>
          <w:shd w:val="clear" w:color="auto" w:fill="FFFFFF"/>
        </w:rPr>
        <w:t xml:space="preserve"> </w:t>
      </w:r>
      <w:proofErr w:type="gramStart"/>
      <w:r w:rsidRPr="006153AD">
        <w:rPr>
          <w:color w:val="1F1F1F"/>
          <w:sz w:val="22"/>
          <w:szCs w:val="22"/>
          <w:shd w:val="clear" w:color="auto" w:fill="FFFFFF"/>
        </w:rPr>
        <w:t>Asupan makanan yang tidak adekuat dapat disebabkan oleh beberapa faktor, seperti keterbatasan ekonomi, kurangnya pengetahuan tentang gizi, serta kondisi kesehatan yang mempengaruhi nafsu makan.</w:t>
      </w:r>
      <w:proofErr w:type="gramEnd"/>
      <w:r w:rsidRPr="006153AD">
        <w:rPr>
          <w:color w:val="1F1F1F"/>
          <w:sz w:val="22"/>
          <w:szCs w:val="22"/>
          <w:shd w:val="clear" w:color="auto" w:fill="FFFFFF"/>
        </w:rPr>
        <w:t xml:space="preserve"> </w:t>
      </w:r>
      <w:proofErr w:type="gramStart"/>
      <w:r w:rsidRPr="006153AD">
        <w:rPr>
          <w:color w:val="1F1F1F"/>
          <w:sz w:val="22"/>
          <w:szCs w:val="22"/>
          <w:shd w:val="clear" w:color="auto" w:fill="FFFFFF"/>
        </w:rPr>
        <w:t>Dalam jangka panjang, asupan nutrisi yang tidak mencukupi dapat menyebabkan defisiensi zat gizi penting yang dibutuhkan tubuh.</w:t>
      </w:r>
      <w:proofErr w:type="gramEnd"/>
      <w:r w:rsidRPr="006153AD">
        <w:rPr>
          <w:color w:val="1F1F1F"/>
          <w:sz w:val="22"/>
          <w:szCs w:val="22"/>
          <w:shd w:val="clear" w:color="auto" w:fill="FFFFFF"/>
        </w:rPr>
        <w:t xml:space="preserve"> </w:t>
      </w:r>
      <w:proofErr w:type="gramStart"/>
      <w:r w:rsidRPr="006153AD">
        <w:rPr>
          <w:color w:val="1F1F1F"/>
          <w:sz w:val="22"/>
          <w:szCs w:val="22"/>
          <w:shd w:val="clear" w:color="auto" w:fill="FFFFFF"/>
        </w:rPr>
        <w:t>Temuan ini memperkuat bahwa pola makan merupakan salah satu faktor utama yang mempengaruhi status nutrisi.</w:t>
      </w:r>
      <w:proofErr w:type="gramEnd"/>
      <w:r w:rsidRPr="006153AD">
        <w:rPr>
          <w:color w:val="1F1F1F"/>
          <w:sz w:val="22"/>
          <w:szCs w:val="22"/>
          <w:shd w:val="clear" w:color="auto" w:fill="FFFFFF"/>
        </w:rPr>
        <w:t xml:space="preserve"> </w:t>
      </w:r>
      <w:proofErr w:type="gramStart"/>
      <w:r w:rsidRPr="006153AD">
        <w:rPr>
          <w:color w:val="1F1F1F"/>
          <w:sz w:val="22"/>
          <w:szCs w:val="22"/>
          <w:shd w:val="clear" w:color="auto" w:fill="FFFFFF"/>
        </w:rPr>
        <w:t>Oleh karena itu, diperlukan intervensi berupa edukasi gizi untuk meningkatkan kesadaran masyarakat terhadap pentingnya konsumsi makanan bergizi seimbang.</w:t>
      </w:r>
      <w:proofErr w:type="gramEnd"/>
    </w:p>
    <w:p w14:paraId="119AFE17" w14:textId="77777777" w:rsidR="00F10F5D" w:rsidRPr="00F10F5D" w:rsidRDefault="00F10F5D" w:rsidP="00F10F5D">
      <w:pPr>
        <w:pStyle w:val="NormalWeb"/>
        <w:shd w:val="clear" w:color="auto" w:fill="FFFFFF"/>
        <w:spacing w:before="0" w:beforeAutospacing="0" w:after="0" w:afterAutospacing="0"/>
        <w:ind w:firstLine="720"/>
        <w:jc w:val="both"/>
        <w:rPr>
          <w:color w:val="1F1F1F"/>
          <w:sz w:val="22"/>
          <w:szCs w:val="22"/>
          <w:shd w:val="clear" w:color="auto" w:fill="FFFFFF"/>
          <w:lang w:val="id-ID"/>
        </w:rPr>
      </w:pPr>
    </w:p>
    <w:p w14:paraId="6725FE0E" w14:textId="77777777" w:rsidR="00E543CA" w:rsidRPr="006153AD" w:rsidRDefault="00E543CA" w:rsidP="006153AD">
      <w:pPr>
        <w:jc w:val="center"/>
        <w:rPr>
          <w:sz w:val="22"/>
          <w:szCs w:val="22"/>
        </w:rPr>
      </w:pPr>
      <w:bookmarkStart w:id="5" w:name="_Toc225836269"/>
      <w:r w:rsidRPr="006153AD">
        <w:rPr>
          <w:sz w:val="22"/>
          <w:szCs w:val="22"/>
        </w:rPr>
        <w:t xml:space="preserve">Tabel </w:t>
      </w:r>
      <w:r w:rsidRPr="006153AD">
        <w:rPr>
          <w:sz w:val="22"/>
          <w:szCs w:val="22"/>
        </w:rPr>
        <w:fldChar w:fldCharType="begin"/>
      </w:r>
      <w:r w:rsidRPr="006153AD">
        <w:rPr>
          <w:sz w:val="22"/>
          <w:szCs w:val="22"/>
        </w:rPr>
        <w:instrText xml:space="preserve"> STYLEREF 1 \s </w:instrText>
      </w:r>
      <w:r w:rsidRPr="006153AD">
        <w:rPr>
          <w:sz w:val="22"/>
          <w:szCs w:val="22"/>
        </w:rPr>
        <w:fldChar w:fldCharType="separate"/>
      </w:r>
      <w:r w:rsidR="00D22FF3">
        <w:rPr>
          <w:b/>
          <w:bCs/>
          <w:noProof/>
          <w:sz w:val="22"/>
          <w:szCs w:val="22"/>
        </w:rPr>
        <w:t>Error! No text of specified style in document.</w:t>
      </w:r>
      <w:r w:rsidRPr="006153AD">
        <w:rPr>
          <w:sz w:val="22"/>
          <w:szCs w:val="22"/>
        </w:rPr>
        <w:fldChar w:fldCharType="end"/>
      </w:r>
      <w:r w:rsidRPr="006153AD">
        <w:rPr>
          <w:sz w:val="22"/>
          <w:szCs w:val="22"/>
        </w:rPr>
        <w:t xml:space="preserve">.5 Kuesioner Nilai Nutrisi Domain 3 </w:t>
      </w:r>
      <w:bookmarkEnd w:id="5"/>
      <w:r w:rsidRPr="006153AD">
        <w:rPr>
          <w:sz w:val="22"/>
          <w:szCs w:val="22"/>
        </w:rPr>
        <w:t>Gejala Gastrointestinal (n=20)</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0"/>
        <w:gridCol w:w="885"/>
        <w:gridCol w:w="1277"/>
      </w:tblGrid>
      <w:tr w:rsidR="00E543CA" w:rsidRPr="00F10F5D" w14:paraId="51BC3284" w14:textId="77777777" w:rsidTr="00F703C6">
        <w:trPr>
          <w:jc w:val="right"/>
        </w:trPr>
        <w:tc>
          <w:tcPr>
            <w:tcW w:w="3192" w:type="dxa"/>
            <w:tcBorders>
              <w:top w:val="single" w:sz="4" w:space="0" w:color="auto"/>
              <w:bottom w:val="single" w:sz="4" w:space="0" w:color="auto"/>
            </w:tcBorders>
          </w:tcPr>
          <w:p w14:paraId="37904B82" w14:textId="77777777" w:rsidR="00E543CA" w:rsidRPr="00F10F5D" w:rsidRDefault="00E543CA" w:rsidP="006153AD">
            <w:pPr>
              <w:jc w:val="center"/>
              <w:rPr>
                <w:rFonts w:ascii="Times New Roman" w:hAnsi="Times New Roman"/>
                <w:b/>
                <w:bCs/>
                <w:lang w:val="id-ID"/>
              </w:rPr>
            </w:pPr>
            <w:r w:rsidRPr="00F10F5D">
              <w:rPr>
                <w:rFonts w:ascii="Times New Roman" w:hAnsi="Times New Roman"/>
                <w:b/>
                <w:bCs/>
                <w:lang w:val="id-ID"/>
              </w:rPr>
              <w:t>Gejala Gastrointestinal</w:t>
            </w:r>
          </w:p>
        </w:tc>
        <w:tc>
          <w:tcPr>
            <w:tcW w:w="1524" w:type="dxa"/>
            <w:tcBorders>
              <w:top w:val="single" w:sz="4" w:space="0" w:color="auto"/>
              <w:bottom w:val="single" w:sz="4" w:space="0" w:color="auto"/>
            </w:tcBorders>
          </w:tcPr>
          <w:p w14:paraId="35AD8DB3" w14:textId="77777777" w:rsidR="00E543CA" w:rsidRPr="00F10F5D" w:rsidRDefault="00E543CA" w:rsidP="006153AD">
            <w:pPr>
              <w:jc w:val="center"/>
              <w:rPr>
                <w:rFonts w:ascii="Times New Roman" w:hAnsi="Times New Roman"/>
                <w:b/>
                <w:bCs/>
                <w:lang w:val="id-ID"/>
              </w:rPr>
            </w:pPr>
            <w:r w:rsidRPr="00F10F5D">
              <w:rPr>
                <w:rFonts w:ascii="Times New Roman" w:hAnsi="Times New Roman"/>
                <w:b/>
                <w:bCs/>
                <w:lang w:val="id-ID"/>
              </w:rPr>
              <w:t>(n)</w:t>
            </w:r>
          </w:p>
        </w:tc>
        <w:tc>
          <w:tcPr>
            <w:tcW w:w="1947" w:type="dxa"/>
            <w:tcBorders>
              <w:top w:val="single" w:sz="4" w:space="0" w:color="auto"/>
              <w:bottom w:val="single" w:sz="4" w:space="0" w:color="auto"/>
            </w:tcBorders>
          </w:tcPr>
          <w:p w14:paraId="5E21CCD7" w14:textId="77777777" w:rsidR="00E543CA" w:rsidRPr="00F10F5D" w:rsidRDefault="00E543CA" w:rsidP="006153AD">
            <w:pPr>
              <w:jc w:val="center"/>
              <w:rPr>
                <w:rFonts w:ascii="Times New Roman" w:hAnsi="Times New Roman"/>
                <w:b/>
                <w:bCs/>
                <w:lang w:val="id-ID"/>
              </w:rPr>
            </w:pPr>
            <w:r w:rsidRPr="00F10F5D">
              <w:rPr>
                <w:rFonts w:ascii="Times New Roman" w:hAnsi="Times New Roman"/>
                <w:b/>
                <w:bCs/>
                <w:lang w:val="id-ID"/>
              </w:rPr>
              <w:t>%</w:t>
            </w:r>
          </w:p>
        </w:tc>
      </w:tr>
      <w:tr w:rsidR="00E543CA" w:rsidRPr="00F10F5D" w14:paraId="0D0580C8" w14:textId="77777777" w:rsidTr="00F703C6">
        <w:trPr>
          <w:jc w:val="right"/>
        </w:trPr>
        <w:tc>
          <w:tcPr>
            <w:tcW w:w="3192" w:type="dxa"/>
            <w:tcBorders>
              <w:top w:val="single" w:sz="4" w:space="0" w:color="auto"/>
            </w:tcBorders>
          </w:tcPr>
          <w:p w14:paraId="3BEAC6B3"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Gizi Baik/Normal</w:t>
            </w:r>
          </w:p>
        </w:tc>
        <w:tc>
          <w:tcPr>
            <w:tcW w:w="1524" w:type="dxa"/>
            <w:tcBorders>
              <w:top w:val="single" w:sz="4" w:space="0" w:color="auto"/>
            </w:tcBorders>
          </w:tcPr>
          <w:p w14:paraId="38D58536"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3</w:t>
            </w:r>
          </w:p>
        </w:tc>
        <w:tc>
          <w:tcPr>
            <w:tcW w:w="1947" w:type="dxa"/>
            <w:tcBorders>
              <w:top w:val="single" w:sz="4" w:space="0" w:color="auto"/>
            </w:tcBorders>
          </w:tcPr>
          <w:p w14:paraId="72644DB1"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15.0%</w:t>
            </w:r>
          </w:p>
        </w:tc>
      </w:tr>
      <w:tr w:rsidR="00E543CA" w:rsidRPr="00F10F5D" w14:paraId="316C9B4A" w14:textId="77777777" w:rsidTr="00F703C6">
        <w:trPr>
          <w:jc w:val="right"/>
        </w:trPr>
        <w:tc>
          <w:tcPr>
            <w:tcW w:w="3192" w:type="dxa"/>
          </w:tcPr>
          <w:p w14:paraId="272A2757"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Gizi Ringan/Sedang</w:t>
            </w:r>
          </w:p>
        </w:tc>
        <w:tc>
          <w:tcPr>
            <w:tcW w:w="1524" w:type="dxa"/>
          </w:tcPr>
          <w:p w14:paraId="1733EE4E"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10</w:t>
            </w:r>
          </w:p>
        </w:tc>
        <w:tc>
          <w:tcPr>
            <w:tcW w:w="1947" w:type="dxa"/>
          </w:tcPr>
          <w:p w14:paraId="3E49D491"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50.0%</w:t>
            </w:r>
          </w:p>
        </w:tc>
      </w:tr>
      <w:tr w:rsidR="00E543CA" w:rsidRPr="00F10F5D" w14:paraId="53190F1E" w14:textId="77777777" w:rsidTr="00F703C6">
        <w:trPr>
          <w:jc w:val="right"/>
        </w:trPr>
        <w:tc>
          <w:tcPr>
            <w:tcW w:w="3192" w:type="dxa"/>
          </w:tcPr>
          <w:p w14:paraId="2E8E2CD7"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Gizi Buruk</w:t>
            </w:r>
          </w:p>
        </w:tc>
        <w:tc>
          <w:tcPr>
            <w:tcW w:w="1524" w:type="dxa"/>
          </w:tcPr>
          <w:p w14:paraId="1F5B0E79"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7</w:t>
            </w:r>
          </w:p>
        </w:tc>
        <w:tc>
          <w:tcPr>
            <w:tcW w:w="1947" w:type="dxa"/>
          </w:tcPr>
          <w:p w14:paraId="0346EDAF"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35.0%</w:t>
            </w:r>
          </w:p>
        </w:tc>
      </w:tr>
      <w:tr w:rsidR="00E543CA" w:rsidRPr="00F10F5D" w14:paraId="69C84264" w14:textId="77777777" w:rsidTr="00F703C6">
        <w:trPr>
          <w:jc w:val="right"/>
        </w:trPr>
        <w:tc>
          <w:tcPr>
            <w:tcW w:w="3192" w:type="dxa"/>
            <w:tcBorders>
              <w:bottom w:val="single" w:sz="4" w:space="0" w:color="auto"/>
            </w:tcBorders>
          </w:tcPr>
          <w:p w14:paraId="0365C2C1"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Total</w:t>
            </w:r>
          </w:p>
        </w:tc>
        <w:tc>
          <w:tcPr>
            <w:tcW w:w="1524" w:type="dxa"/>
            <w:tcBorders>
              <w:bottom w:val="single" w:sz="4" w:space="0" w:color="auto"/>
            </w:tcBorders>
          </w:tcPr>
          <w:p w14:paraId="71ED09DA"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20</w:t>
            </w:r>
          </w:p>
        </w:tc>
        <w:tc>
          <w:tcPr>
            <w:tcW w:w="1947" w:type="dxa"/>
            <w:tcBorders>
              <w:bottom w:val="single" w:sz="4" w:space="0" w:color="auto"/>
            </w:tcBorders>
          </w:tcPr>
          <w:p w14:paraId="2D9FE2B0"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100.0%</w:t>
            </w:r>
          </w:p>
        </w:tc>
      </w:tr>
    </w:tbl>
    <w:p w14:paraId="199706D8" w14:textId="77777777" w:rsidR="00F10F5D" w:rsidRDefault="00E543CA" w:rsidP="006153AD">
      <w:pPr>
        <w:pStyle w:val="NormalWeb"/>
        <w:spacing w:before="0" w:beforeAutospacing="0" w:after="0" w:afterAutospacing="0"/>
        <w:ind w:firstLine="720"/>
        <w:jc w:val="both"/>
        <w:rPr>
          <w:color w:val="1F1F1F"/>
          <w:sz w:val="22"/>
          <w:szCs w:val="22"/>
          <w:lang w:val="id-ID"/>
        </w:rPr>
      </w:pPr>
      <w:r w:rsidRPr="006153AD">
        <w:rPr>
          <w:color w:val="1F1F1F"/>
          <w:sz w:val="22"/>
          <w:szCs w:val="22"/>
        </w:rPr>
        <w:t>Berdasarkan Tabel 4.5, hasil penelitian menunjukkan bahwa sebagian besar responden berada pada kategori gizi ringan/</w:t>
      </w:r>
      <w:proofErr w:type="gramStart"/>
      <w:r w:rsidRPr="006153AD">
        <w:rPr>
          <w:color w:val="1F1F1F"/>
          <w:sz w:val="22"/>
          <w:szCs w:val="22"/>
        </w:rPr>
        <w:t>sedang  (</w:t>
      </w:r>
      <w:proofErr w:type="gramEnd"/>
      <w:r w:rsidRPr="006153AD">
        <w:rPr>
          <w:color w:val="1F1F1F"/>
          <w:sz w:val="22"/>
          <w:szCs w:val="22"/>
        </w:rPr>
        <w:t xml:space="preserve">50,0%) dan gizi buruk (35,0%) terkait gejala gastrointestinal. </w:t>
      </w:r>
    </w:p>
    <w:p w14:paraId="42A7E8F8" w14:textId="51EE4E2F" w:rsidR="00E543CA" w:rsidRPr="006153AD" w:rsidRDefault="00E543CA" w:rsidP="006153AD">
      <w:pPr>
        <w:pStyle w:val="NormalWeb"/>
        <w:spacing w:before="0" w:beforeAutospacing="0" w:after="0" w:afterAutospacing="0"/>
        <w:ind w:firstLine="720"/>
        <w:jc w:val="both"/>
        <w:rPr>
          <w:color w:val="1F1F1F"/>
          <w:sz w:val="22"/>
          <w:szCs w:val="22"/>
        </w:rPr>
      </w:pPr>
      <w:proofErr w:type="gramStart"/>
      <w:r w:rsidRPr="006153AD">
        <w:rPr>
          <w:color w:val="1F1F1F"/>
          <w:sz w:val="22"/>
          <w:szCs w:val="22"/>
        </w:rPr>
        <w:t>Kondisi ini mengindikasikan bahwa gangguan pencernaan seperti mual, muntah, diare, atau kehilangan nafsu makan cukup banyak dialami oleh responden.</w:t>
      </w:r>
      <w:proofErr w:type="gramEnd"/>
      <w:r w:rsidRPr="006153AD">
        <w:rPr>
          <w:color w:val="1F1F1F"/>
          <w:sz w:val="22"/>
          <w:szCs w:val="22"/>
        </w:rPr>
        <w:t xml:space="preserve"> Gangguan gastrointestinal memiliki pengaruh langsung terhadap status nutrisi karena dapat menghambat proses pencernaan dan penyerapan zat gizi. </w:t>
      </w:r>
      <w:proofErr w:type="gramStart"/>
      <w:r w:rsidRPr="006153AD">
        <w:rPr>
          <w:color w:val="1F1F1F"/>
          <w:sz w:val="22"/>
          <w:szCs w:val="22"/>
        </w:rPr>
        <w:t xml:space="preserve">Jika kondisi ini berlangsung dalam jangka panjang, maka </w:t>
      </w:r>
      <w:r w:rsidRPr="006153AD">
        <w:rPr>
          <w:color w:val="1F1F1F"/>
          <w:sz w:val="22"/>
          <w:szCs w:val="22"/>
        </w:rPr>
        <w:lastRenderedPageBreak/>
        <w:t>dapat menyebabkan penurunan berat badan dan defisiensi nutrisi.</w:t>
      </w:r>
      <w:proofErr w:type="gramEnd"/>
      <w:r w:rsidRPr="006153AD">
        <w:rPr>
          <w:color w:val="1F1F1F"/>
          <w:sz w:val="22"/>
          <w:szCs w:val="22"/>
        </w:rPr>
        <w:t xml:space="preserve"> </w:t>
      </w:r>
      <w:proofErr w:type="gramStart"/>
      <w:r w:rsidRPr="006153AD">
        <w:rPr>
          <w:color w:val="1F1F1F"/>
          <w:sz w:val="22"/>
          <w:szCs w:val="22"/>
        </w:rPr>
        <w:t>Dengan demikian, gejala gastrointestinal merupakan faktor penting yang perlu diperhatikan dalam penilaian status nutrisi, karena dapat menjadi penyebab utama terjadinya malnutrisi pada individu.</w:t>
      </w:r>
      <w:proofErr w:type="gramEnd"/>
    </w:p>
    <w:p w14:paraId="3E3A3704" w14:textId="77777777" w:rsidR="00F10F5D" w:rsidRDefault="00F10F5D" w:rsidP="006153AD">
      <w:pPr>
        <w:jc w:val="center"/>
        <w:rPr>
          <w:sz w:val="22"/>
          <w:szCs w:val="22"/>
          <w:lang w:val="id-ID"/>
        </w:rPr>
      </w:pPr>
      <w:bookmarkStart w:id="6" w:name="_Toc225836270"/>
    </w:p>
    <w:p w14:paraId="3EA1487D" w14:textId="77777777" w:rsidR="00E543CA" w:rsidRPr="006153AD" w:rsidRDefault="00E543CA" w:rsidP="006153AD">
      <w:pPr>
        <w:jc w:val="center"/>
        <w:rPr>
          <w:sz w:val="22"/>
          <w:szCs w:val="22"/>
        </w:rPr>
      </w:pPr>
      <w:r w:rsidRPr="006153AD">
        <w:rPr>
          <w:sz w:val="22"/>
          <w:szCs w:val="22"/>
        </w:rPr>
        <w:t xml:space="preserve">Tabel </w:t>
      </w:r>
      <w:r w:rsidRPr="006153AD">
        <w:rPr>
          <w:sz w:val="22"/>
          <w:szCs w:val="22"/>
        </w:rPr>
        <w:fldChar w:fldCharType="begin"/>
      </w:r>
      <w:r w:rsidRPr="006153AD">
        <w:rPr>
          <w:sz w:val="22"/>
          <w:szCs w:val="22"/>
        </w:rPr>
        <w:instrText xml:space="preserve"> STYLEREF 1 \s </w:instrText>
      </w:r>
      <w:r w:rsidRPr="006153AD">
        <w:rPr>
          <w:sz w:val="22"/>
          <w:szCs w:val="22"/>
        </w:rPr>
        <w:fldChar w:fldCharType="separate"/>
      </w:r>
      <w:r w:rsidR="00D22FF3">
        <w:rPr>
          <w:b/>
          <w:bCs/>
          <w:noProof/>
          <w:sz w:val="22"/>
          <w:szCs w:val="22"/>
        </w:rPr>
        <w:t>Error! No text of specified style in document.</w:t>
      </w:r>
      <w:r w:rsidRPr="006153AD">
        <w:rPr>
          <w:sz w:val="22"/>
          <w:szCs w:val="22"/>
        </w:rPr>
        <w:fldChar w:fldCharType="end"/>
      </w:r>
      <w:r w:rsidRPr="006153AD">
        <w:rPr>
          <w:sz w:val="22"/>
          <w:szCs w:val="22"/>
        </w:rPr>
        <w:t xml:space="preserve">.6 </w:t>
      </w:r>
      <w:bookmarkEnd w:id="6"/>
      <w:r w:rsidRPr="006153AD">
        <w:rPr>
          <w:sz w:val="22"/>
          <w:szCs w:val="22"/>
        </w:rPr>
        <w:t>Kuesioner Nilai Nutrisi Domain 4 Kapasitas Fungsional (n=20)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1381"/>
        <w:gridCol w:w="1303"/>
      </w:tblGrid>
      <w:tr w:rsidR="00E543CA" w:rsidRPr="00F10F5D" w14:paraId="5409C2D8" w14:textId="77777777" w:rsidTr="00F703C6">
        <w:trPr>
          <w:jc w:val="center"/>
        </w:trPr>
        <w:tc>
          <w:tcPr>
            <w:tcW w:w="2075" w:type="dxa"/>
            <w:tcBorders>
              <w:top w:val="single" w:sz="4" w:space="0" w:color="auto"/>
              <w:bottom w:val="single" w:sz="4" w:space="0" w:color="auto"/>
            </w:tcBorders>
          </w:tcPr>
          <w:p w14:paraId="4C66A772" w14:textId="77777777" w:rsidR="00E543CA" w:rsidRPr="00F10F5D" w:rsidRDefault="00E543CA" w:rsidP="006153AD">
            <w:pPr>
              <w:jc w:val="center"/>
              <w:rPr>
                <w:rFonts w:ascii="Times New Roman" w:hAnsi="Times New Roman"/>
                <w:b/>
                <w:bCs/>
                <w:lang w:val="id-ID"/>
              </w:rPr>
            </w:pPr>
            <w:r w:rsidRPr="00F10F5D">
              <w:rPr>
                <w:rFonts w:ascii="Times New Roman" w:hAnsi="Times New Roman"/>
                <w:b/>
                <w:bCs/>
                <w:lang w:val="id-ID"/>
              </w:rPr>
              <w:t>Kapasitas Fungsional</w:t>
            </w:r>
          </w:p>
        </w:tc>
        <w:tc>
          <w:tcPr>
            <w:tcW w:w="2641" w:type="dxa"/>
            <w:tcBorders>
              <w:top w:val="single" w:sz="4" w:space="0" w:color="auto"/>
              <w:bottom w:val="single" w:sz="4" w:space="0" w:color="auto"/>
            </w:tcBorders>
          </w:tcPr>
          <w:p w14:paraId="1932978F" w14:textId="77777777" w:rsidR="00E543CA" w:rsidRPr="00F10F5D" w:rsidRDefault="00E543CA" w:rsidP="006153AD">
            <w:pPr>
              <w:jc w:val="center"/>
              <w:rPr>
                <w:rFonts w:ascii="Times New Roman" w:hAnsi="Times New Roman"/>
                <w:b/>
                <w:bCs/>
                <w:lang w:val="id-ID"/>
              </w:rPr>
            </w:pPr>
            <w:r w:rsidRPr="00F10F5D">
              <w:rPr>
                <w:rFonts w:ascii="Times New Roman" w:hAnsi="Times New Roman"/>
                <w:b/>
                <w:bCs/>
                <w:lang w:val="id-ID"/>
              </w:rPr>
              <w:t>(n)</w:t>
            </w:r>
          </w:p>
        </w:tc>
        <w:tc>
          <w:tcPr>
            <w:tcW w:w="1947" w:type="dxa"/>
            <w:tcBorders>
              <w:top w:val="single" w:sz="4" w:space="0" w:color="auto"/>
              <w:bottom w:val="single" w:sz="4" w:space="0" w:color="auto"/>
            </w:tcBorders>
          </w:tcPr>
          <w:p w14:paraId="44ED05F1" w14:textId="77777777" w:rsidR="00E543CA" w:rsidRPr="00F10F5D" w:rsidRDefault="00E543CA" w:rsidP="006153AD">
            <w:pPr>
              <w:jc w:val="center"/>
              <w:rPr>
                <w:rFonts w:ascii="Times New Roman" w:hAnsi="Times New Roman"/>
                <w:b/>
                <w:bCs/>
                <w:lang w:val="id-ID"/>
              </w:rPr>
            </w:pPr>
            <w:r w:rsidRPr="00F10F5D">
              <w:rPr>
                <w:rFonts w:ascii="Times New Roman" w:hAnsi="Times New Roman"/>
                <w:b/>
                <w:bCs/>
                <w:lang w:val="id-ID"/>
              </w:rPr>
              <w:t>%</w:t>
            </w:r>
          </w:p>
        </w:tc>
      </w:tr>
      <w:tr w:rsidR="00E543CA" w:rsidRPr="00F10F5D" w14:paraId="5FF2E308" w14:textId="77777777" w:rsidTr="00F703C6">
        <w:trPr>
          <w:jc w:val="center"/>
        </w:trPr>
        <w:tc>
          <w:tcPr>
            <w:tcW w:w="2075" w:type="dxa"/>
            <w:tcBorders>
              <w:top w:val="single" w:sz="4" w:space="0" w:color="auto"/>
            </w:tcBorders>
          </w:tcPr>
          <w:p w14:paraId="1584BF93"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Gizi Baik/Normal</w:t>
            </w:r>
          </w:p>
        </w:tc>
        <w:tc>
          <w:tcPr>
            <w:tcW w:w="2641" w:type="dxa"/>
            <w:tcBorders>
              <w:top w:val="single" w:sz="4" w:space="0" w:color="auto"/>
            </w:tcBorders>
          </w:tcPr>
          <w:p w14:paraId="20B61B7C"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7</w:t>
            </w:r>
          </w:p>
        </w:tc>
        <w:tc>
          <w:tcPr>
            <w:tcW w:w="1947" w:type="dxa"/>
            <w:tcBorders>
              <w:top w:val="single" w:sz="4" w:space="0" w:color="auto"/>
            </w:tcBorders>
          </w:tcPr>
          <w:p w14:paraId="0549168D"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35.0%</w:t>
            </w:r>
          </w:p>
        </w:tc>
      </w:tr>
      <w:tr w:rsidR="00E543CA" w:rsidRPr="00F10F5D" w14:paraId="452FBE47" w14:textId="77777777" w:rsidTr="00F703C6">
        <w:trPr>
          <w:jc w:val="center"/>
        </w:trPr>
        <w:tc>
          <w:tcPr>
            <w:tcW w:w="2075" w:type="dxa"/>
          </w:tcPr>
          <w:p w14:paraId="03FC9283"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Gizi Ringan/Sedang</w:t>
            </w:r>
          </w:p>
        </w:tc>
        <w:tc>
          <w:tcPr>
            <w:tcW w:w="2641" w:type="dxa"/>
          </w:tcPr>
          <w:p w14:paraId="0B8D4E96"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10</w:t>
            </w:r>
          </w:p>
        </w:tc>
        <w:tc>
          <w:tcPr>
            <w:tcW w:w="1947" w:type="dxa"/>
          </w:tcPr>
          <w:p w14:paraId="470C7D4D"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50.0%</w:t>
            </w:r>
          </w:p>
        </w:tc>
      </w:tr>
      <w:tr w:rsidR="00E543CA" w:rsidRPr="00F10F5D" w14:paraId="53DEFEED" w14:textId="77777777" w:rsidTr="00F703C6">
        <w:trPr>
          <w:jc w:val="center"/>
        </w:trPr>
        <w:tc>
          <w:tcPr>
            <w:tcW w:w="2075" w:type="dxa"/>
          </w:tcPr>
          <w:p w14:paraId="53A37253"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Gizi Buruk</w:t>
            </w:r>
          </w:p>
        </w:tc>
        <w:tc>
          <w:tcPr>
            <w:tcW w:w="2641" w:type="dxa"/>
          </w:tcPr>
          <w:p w14:paraId="4065AD66"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3</w:t>
            </w:r>
          </w:p>
        </w:tc>
        <w:tc>
          <w:tcPr>
            <w:tcW w:w="1947" w:type="dxa"/>
          </w:tcPr>
          <w:p w14:paraId="17B9F454"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15.0%</w:t>
            </w:r>
          </w:p>
        </w:tc>
      </w:tr>
      <w:tr w:rsidR="00E543CA" w:rsidRPr="00F10F5D" w14:paraId="33D3EE76" w14:textId="77777777" w:rsidTr="00F703C6">
        <w:trPr>
          <w:jc w:val="center"/>
        </w:trPr>
        <w:tc>
          <w:tcPr>
            <w:tcW w:w="2075" w:type="dxa"/>
            <w:tcBorders>
              <w:bottom w:val="single" w:sz="4" w:space="0" w:color="auto"/>
            </w:tcBorders>
          </w:tcPr>
          <w:p w14:paraId="2CE69DB8"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Total</w:t>
            </w:r>
          </w:p>
        </w:tc>
        <w:tc>
          <w:tcPr>
            <w:tcW w:w="2641" w:type="dxa"/>
            <w:tcBorders>
              <w:bottom w:val="single" w:sz="4" w:space="0" w:color="auto"/>
            </w:tcBorders>
          </w:tcPr>
          <w:p w14:paraId="263D6A98"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20</w:t>
            </w:r>
          </w:p>
        </w:tc>
        <w:tc>
          <w:tcPr>
            <w:tcW w:w="1947" w:type="dxa"/>
            <w:tcBorders>
              <w:bottom w:val="single" w:sz="4" w:space="0" w:color="auto"/>
            </w:tcBorders>
          </w:tcPr>
          <w:p w14:paraId="1D2F1F64"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100.0%</w:t>
            </w:r>
          </w:p>
        </w:tc>
      </w:tr>
    </w:tbl>
    <w:p w14:paraId="66B4E7A0" w14:textId="77777777" w:rsidR="00F10F5D" w:rsidRDefault="00E543CA" w:rsidP="006153AD">
      <w:pPr>
        <w:pStyle w:val="NormalWeb"/>
        <w:shd w:val="clear" w:color="auto" w:fill="FFFFFF"/>
        <w:spacing w:before="0" w:beforeAutospacing="0" w:after="0" w:afterAutospacing="0"/>
        <w:ind w:firstLine="720"/>
        <w:jc w:val="both"/>
        <w:rPr>
          <w:color w:val="1F1F1F"/>
          <w:sz w:val="22"/>
          <w:szCs w:val="22"/>
          <w:lang w:val="id-ID"/>
        </w:rPr>
      </w:pPr>
      <w:r w:rsidRPr="006153AD">
        <w:rPr>
          <w:color w:val="1F1F1F"/>
          <w:sz w:val="22"/>
          <w:szCs w:val="22"/>
        </w:rPr>
        <w:t>Berdasarkan Tabel 4.6, sebagian besar responden berada pada kategori gizi ringan/</w:t>
      </w:r>
      <w:proofErr w:type="gramStart"/>
      <w:r w:rsidRPr="006153AD">
        <w:rPr>
          <w:color w:val="1F1F1F"/>
          <w:sz w:val="22"/>
          <w:szCs w:val="22"/>
        </w:rPr>
        <w:t>sedang  (</w:t>
      </w:r>
      <w:proofErr w:type="gramEnd"/>
      <w:r w:rsidRPr="006153AD">
        <w:rPr>
          <w:color w:val="1F1F1F"/>
          <w:sz w:val="22"/>
          <w:szCs w:val="22"/>
        </w:rPr>
        <w:t xml:space="preserve">50,0%) dalam kapasitas fungsional, diikuti oleh  gizi baik  (35,0%) dan gizi buruk  (15,0%). </w:t>
      </w:r>
    </w:p>
    <w:p w14:paraId="646FE202" w14:textId="4526CE8D" w:rsidR="00E543CA" w:rsidRPr="006153AD" w:rsidRDefault="00E543CA" w:rsidP="006153AD">
      <w:pPr>
        <w:pStyle w:val="NormalWeb"/>
        <w:shd w:val="clear" w:color="auto" w:fill="FFFFFF"/>
        <w:spacing w:before="0" w:beforeAutospacing="0" w:after="0" w:afterAutospacing="0"/>
        <w:ind w:firstLine="720"/>
        <w:jc w:val="both"/>
        <w:rPr>
          <w:rStyle w:val="Strong"/>
          <w:b w:val="0"/>
          <w:bCs w:val="0"/>
          <w:color w:val="1F1F1F"/>
          <w:sz w:val="22"/>
          <w:szCs w:val="22"/>
        </w:rPr>
      </w:pPr>
      <w:proofErr w:type="gramStart"/>
      <w:r w:rsidRPr="006153AD">
        <w:rPr>
          <w:color w:val="1F1F1F"/>
          <w:sz w:val="22"/>
          <w:szCs w:val="22"/>
        </w:rPr>
        <w:t>Hal ini menunjukkan bahwa sebagian responden mengalami penurunan kemampuan dalam melakukan aktivitas sehari-hari.</w:t>
      </w:r>
      <w:proofErr w:type="gramEnd"/>
      <w:r w:rsidRPr="006153AD">
        <w:rPr>
          <w:color w:val="1F1F1F"/>
          <w:sz w:val="22"/>
          <w:szCs w:val="22"/>
        </w:rPr>
        <w:t xml:space="preserve"> </w:t>
      </w:r>
      <w:proofErr w:type="gramStart"/>
      <w:r w:rsidRPr="006153AD">
        <w:rPr>
          <w:color w:val="1F1F1F"/>
          <w:sz w:val="22"/>
          <w:szCs w:val="22"/>
        </w:rPr>
        <w:t>Kapasitas fungsional yang menurun dapat disebabkan oleh kondisi fisik yang lemah akibat kurangnya asupan nutrisi atau adanya penyakit yang mendasari.</w:t>
      </w:r>
      <w:proofErr w:type="gramEnd"/>
      <w:r w:rsidRPr="006153AD">
        <w:rPr>
          <w:color w:val="1F1F1F"/>
          <w:sz w:val="22"/>
          <w:szCs w:val="22"/>
        </w:rPr>
        <w:t xml:space="preserve"> </w:t>
      </w:r>
      <w:proofErr w:type="gramStart"/>
      <w:r w:rsidRPr="006153AD">
        <w:rPr>
          <w:color w:val="1F1F1F"/>
          <w:sz w:val="22"/>
          <w:szCs w:val="22"/>
        </w:rPr>
        <w:t>Penurunan aktivitas ini juga dapat memperburuk kondisi nutrisi karena berkurangnya energi dan motivasi untuk memenuhi kebutuhan makan.</w:t>
      </w:r>
      <w:proofErr w:type="gramEnd"/>
      <w:r w:rsidRPr="006153AD">
        <w:rPr>
          <w:color w:val="1F1F1F"/>
          <w:sz w:val="22"/>
          <w:szCs w:val="22"/>
        </w:rPr>
        <w:t xml:space="preserve"> </w:t>
      </w:r>
      <w:proofErr w:type="gramStart"/>
      <w:r w:rsidRPr="006153AD">
        <w:rPr>
          <w:color w:val="1F1F1F"/>
          <w:sz w:val="22"/>
          <w:szCs w:val="22"/>
        </w:rPr>
        <w:t>Oleh karena itu, kapasitas fungsional merupakan indikator penting dalam menilai dampak status nutrisi terhadap kualitas hidup seseorang.</w:t>
      </w:r>
      <w:proofErr w:type="gramEnd"/>
    </w:p>
    <w:p w14:paraId="7CCEC080" w14:textId="77777777" w:rsidR="00F10F5D" w:rsidRDefault="00F10F5D" w:rsidP="006153AD">
      <w:pPr>
        <w:jc w:val="center"/>
        <w:rPr>
          <w:sz w:val="22"/>
          <w:szCs w:val="22"/>
          <w:lang w:val="id-ID"/>
        </w:rPr>
      </w:pPr>
    </w:p>
    <w:p w14:paraId="333E48F5" w14:textId="77777777" w:rsidR="00E543CA" w:rsidRPr="006153AD" w:rsidRDefault="00E543CA" w:rsidP="006153AD">
      <w:pPr>
        <w:jc w:val="center"/>
        <w:rPr>
          <w:sz w:val="22"/>
          <w:szCs w:val="22"/>
        </w:rPr>
      </w:pPr>
      <w:r w:rsidRPr="006153AD">
        <w:rPr>
          <w:sz w:val="22"/>
          <w:szCs w:val="22"/>
        </w:rPr>
        <w:t xml:space="preserve">Tabel </w:t>
      </w:r>
      <w:r w:rsidRPr="006153AD">
        <w:rPr>
          <w:sz w:val="22"/>
          <w:szCs w:val="22"/>
        </w:rPr>
        <w:fldChar w:fldCharType="begin"/>
      </w:r>
      <w:r w:rsidRPr="006153AD">
        <w:rPr>
          <w:sz w:val="22"/>
          <w:szCs w:val="22"/>
        </w:rPr>
        <w:instrText xml:space="preserve"> STYLEREF 1 \s </w:instrText>
      </w:r>
      <w:r w:rsidRPr="006153AD">
        <w:rPr>
          <w:sz w:val="22"/>
          <w:szCs w:val="22"/>
        </w:rPr>
        <w:fldChar w:fldCharType="separate"/>
      </w:r>
      <w:r w:rsidR="00D22FF3">
        <w:rPr>
          <w:b/>
          <w:bCs/>
          <w:noProof/>
          <w:sz w:val="22"/>
          <w:szCs w:val="22"/>
        </w:rPr>
        <w:t>Error! No text of specified style in document.</w:t>
      </w:r>
      <w:r w:rsidRPr="006153AD">
        <w:rPr>
          <w:sz w:val="22"/>
          <w:szCs w:val="22"/>
        </w:rPr>
        <w:fldChar w:fldCharType="end"/>
      </w:r>
      <w:r w:rsidRPr="006153AD">
        <w:rPr>
          <w:sz w:val="22"/>
          <w:szCs w:val="22"/>
        </w:rPr>
        <w:t>.7 Kuesioner Nilai Nutrisi Domain 5 Berdasarkan Penyakit dan Kebutuhan Gizi (n=20)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2"/>
        <w:gridCol w:w="507"/>
        <w:gridCol w:w="1303"/>
      </w:tblGrid>
      <w:tr w:rsidR="00E543CA" w:rsidRPr="00F10F5D" w14:paraId="5B227546" w14:textId="77777777" w:rsidTr="00F703C6">
        <w:trPr>
          <w:jc w:val="center"/>
        </w:trPr>
        <w:tc>
          <w:tcPr>
            <w:tcW w:w="4145" w:type="dxa"/>
            <w:tcBorders>
              <w:top w:val="single" w:sz="4" w:space="0" w:color="auto"/>
              <w:bottom w:val="single" w:sz="4" w:space="0" w:color="auto"/>
            </w:tcBorders>
          </w:tcPr>
          <w:p w14:paraId="7781BDDC" w14:textId="77777777" w:rsidR="00E543CA" w:rsidRPr="00F10F5D" w:rsidRDefault="00E543CA" w:rsidP="006153AD">
            <w:pPr>
              <w:jc w:val="center"/>
              <w:rPr>
                <w:rFonts w:ascii="Times New Roman" w:hAnsi="Times New Roman"/>
                <w:b/>
                <w:bCs/>
                <w:lang w:val="id-ID"/>
              </w:rPr>
            </w:pPr>
            <w:r w:rsidRPr="00F10F5D">
              <w:rPr>
                <w:rFonts w:ascii="Times New Roman" w:hAnsi="Times New Roman"/>
                <w:b/>
                <w:bCs/>
                <w:lang w:val="id-ID"/>
              </w:rPr>
              <w:t>Berdasarkan Penyakit dan Kebutuhan Gizi</w:t>
            </w:r>
          </w:p>
        </w:tc>
        <w:tc>
          <w:tcPr>
            <w:tcW w:w="571" w:type="dxa"/>
            <w:tcBorders>
              <w:top w:val="single" w:sz="4" w:space="0" w:color="auto"/>
              <w:bottom w:val="single" w:sz="4" w:space="0" w:color="auto"/>
            </w:tcBorders>
          </w:tcPr>
          <w:p w14:paraId="475D9F7A" w14:textId="77777777" w:rsidR="00E543CA" w:rsidRPr="00F10F5D" w:rsidRDefault="00E543CA" w:rsidP="006153AD">
            <w:pPr>
              <w:jc w:val="center"/>
              <w:rPr>
                <w:rFonts w:ascii="Times New Roman" w:hAnsi="Times New Roman"/>
                <w:b/>
                <w:bCs/>
                <w:lang w:val="id-ID"/>
              </w:rPr>
            </w:pPr>
            <w:r w:rsidRPr="00F10F5D">
              <w:rPr>
                <w:rFonts w:ascii="Times New Roman" w:hAnsi="Times New Roman"/>
                <w:b/>
                <w:bCs/>
                <w:lang w:val="id-ID"/>
              </w:rPr>
              <w:t>(n)</w:t>
            </w:r>
          </w:p>
        </w:tc>
        <w:tc>
          <w:tcPr>
            <w:tcW w:w="1947" w:type="dxa"/>
            <w:tcBorders>
              <w:top w:val="single" w:sz="4" w:space="0" w:color="auto"/>
              <w:bottom w:val="single" w:sz="4" w:space="0" w:color="auto"/>
            </w:tcBorders>
          </w:tcPr>
          <w:p w14:paraId="6DBBDD37" w14:textId="77777777" w:rsidR="00E543CA" w:rsidRPr="00F10F5D" w:rsidRDefault="00E543CA" w:rsidP="006153AD">
            <w:pPr>
              <w:jc w:val="center"/>
              <w:rPr>
                <w:rFonts w:ascii="Times New Roman" w:hAnsi="Times New Roman"/>
                <w:b/>
                <w:bCs/>
                <w:lang w:val="id-ID"/>
              </w:rPr>
            </w:pPr>
            <w:r w:rsidRPr="00F10F5D">
              <w:rPr>
                <w:rFonts w:ascii="Times New Roman" w:hAnsi="Times New Roman"/>
                <w:b/>
                <w:bCs/>
                <w:lang w:val="id-ID"/>
              </w:rPr>
              <w:t>%</w:t>
            </w:r>
          </w:p>
        </w:tc>
      </w:tr>
      <w:tr w:rsidR="00E543CA" w:rsidRPr="00F10F5D" w14:paraId="211F83E2" w14:textId="77777777" w:rsidTr="00F703C6">
        <w:trPr>
          <w:jc w:val="center"/>
        </w:trPr>
        <w:tc>
          <w:tcPr>
            <w:tcW w:w="4145" w:type="dxa"/>
            <w:tcBorders>
              <w:top w:val="single" w:sz="4" w:space="0" w:color="auto"/>
            </w:tcBorders>
          </w:tcPr>
          <w:p w14:paraId="53F9E6A7"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Gizi Baik/Normal</w:t>
            </w:r>
          </w:p>
        </w:tc>
        <w:tc>
          <w:tcPr>
            <w:tcW w:w="571" w:type="dxa"/>
            <w:tcBorders>
              <w:top w:val="single" w:sz="4" w:space="0" w:color="auto"/>
            </w:tcBorders>
          </w:tcPr>
          <w:p w14:paraId="351287E9"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15</w:t>
            </w:r>
          </w:p>
        </w:tc>
        <w:tc>
          <w:tcPr>
            <w:tcW w:w="1947" w:type="dxa"/>
            <w:tcBorders>
              <w:top w:val="single" w:sz="4" w:space="0" w:color="auto"/>
            </w:tcBorders>
          </w:tcPr>
          <w:p w14:paraId="22F4B70F"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75.0%</w:t>
            </w:r>
          </w:p>
        </w:tc>
      </w:tr>
      <w:tr w:rsidR="00E543CA" w:rsidRPr="00F10F5D" w14:paraId="526DE74D" w14:textId="77777777" w:rsidTr="00F703C6">
        <w:trPr>
          <w:jc w:val="center"/>
        </w:trPr>
        <w:tc>
          <w:tcPr>
            <w:tcW w:w="4145" w:type="dxa"/>
          </w:tcPr>
          <w:p w14:paraId="511328E0"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Gizi Ringan/Sedang</w:t>
            </w:r>
          </w:p>
        </w:tc>
        <w:tc>
          <w:tcPr>
            <w:tcW w:w="571" w:type="dxa"/>
          </w:tcPr>
          <w:p w14:paraId="671406EB"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2</w:t>
            </w:r>
          </w:p>
        </w:tc>
        <w:tc>
          <w:tcPr>
            <w:tcW w:w="1947" w:type="dxa"/>
          </w:tcPr>
          <w:p w14:paraId="065A54A5"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10.0%</w:t>
            </w:r>
          </w:p>
        </w:tc>
      </w:tr>
      <w:tr w:rsidR="00E543CA" w:rsidRPr="00F10F5D" w14:paraId="1446E13E" w14:textId="77777777" w:rsidTr="00F703C6">
        <w:trPr>
          <w:jc w:val="center"/>
        </w:trPr>
        <w:tc>
          <w:tcPr>
            <w:tcW w:w="4145" w:type="dxa"/>
          </w:tcPr>
          <w:p w14:paraId="5D4F5900"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Gizi Buruk</w:t>
            </w:r>
          </w:p>
        </w:tc>
        <w:tc>
          <w:tcPr>
            <w:tcW w:w="571" w:type="dxa"/>
          </w:tcPr>
          <w:p w14:paraId="481641A5"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3</w:t>
            </w:r>
          </w:p>
        </w:tc>
        <w:tc>
          <w:tcPr>
            <w:tcW w:w="1947" w:type="dxa"/>
          </w:tcPr>
          <w:p w14:paraId="18E13F52"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15.0%</w:t>
            </w:r>
          </w:p>
        </w:tc>
      </w:tr>
      <w:tr w:rsidR="00E543CA" w:rsidRPr="00F10F5D" w14:paraId="131D71C1" w14:textId="77777777" w:rsidTr="00F703C6">
        <w:trPr>
          <w:jc w:val="center"/>
        </w:trPr>
        <w:tc>
          <w:tcPr>
            <w:tcW w:w="4145" w:type="dxa"/>
            <w:tcBorders>
              <w:bottom w:val="single" w:sz="4" w:space="0" w:color="auto"/>
            </w:tcBorders>
          </w:tcPr>
          <w:p w14:paraId="7E3BC0B1"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Total</w:t>
            </w:r>
          </w:p>
        </w:tc>
        <w:tc>
          <w:tcPr>
            <w:tcW w:w="571" w:type="dxa"/>
            <w:tcBorders>
              <w:bottom w:val="single" w:sz="4" w:space="0" w:color="auto"/>
            </w:tcBorders>
          </w:tcPr>
          <w:p w14:paraId="555C36D8"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20</w:t>
            </w:r>
          </w:p>
        </w:tc>
        <w:tc>
          <w:tcPr>
            <w:tcW w:w="1947" w:type="dxa"/>
            <w:tcBorders>
              <w:bottom w:val="single" w:sz="4" w:space="0" w:color="auto"/>
            </w:tcBorders>
          </w:tcPr>
          <w:p w14:paraId="4DB0CFB7"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100.0%</w:t>
            </w:r>
          </w:p>
        </w:tc>
      </w:tr>
    </w:tbl>
    <w:p w14:paraId="763FCEB2" w14:textId="77777777" w:rsidR="00F10F5D" w:rsidRDefault="00E543CA" w:rsidP="006153AD">
      <w:pPr>
        <w:pStyle w:val="NormalWeb"/>
        <w:shd w:val="clear" w:color="auto" w:fill="FFFFFF"/>
        <w:spacing w:before="0" w:beforeAutospacing="0" w:after="0" w:afterAutospacing="0"/>
        <w:ind w:firstLine="720"/>
        <w:jc w:val="both"/>
        <w:rPr>
          <w:color w:val="1F1F1F"/>
          <w:sz w:val="22"/>
          <w:szCs w:val="22"/>
          <w:lang w:val="id-ID"/>
        </w:rPr>
      </w:pPr>
      <w:r w:rsidRPr="006153AD">
        <w:rPr>
          <w:color w:val="1F1F1F"/>
          <w:sz w:val="22"/>
          <w:szCs w:val="22"/>
        </w:rPr>
        <w:t xml:space="preserve">Berdasarkan Tabel 4.7, hasil penelitian menunjukkan bahwa mayoritas responden berada pada kategori gizi </w:t>
      </w:r>
      <w:proofErr w:type="gramStart"/>
      <w:r w:rsidRPr="006153AD">
        <w:rPr>
          <w:color w:val="1F1F1F"/>
          <w:sz w:val="22"/>
          <w:szCs w:val="22"/>
        </w:rPr>
        <w:t>baik  (</w:t>
      </w:r>
      <w:proofErr w:type="gramEnd"/>
      <w:r w:rsidRPr="006153AD">
        <w:rPr>
          <w:color w:val="1F1F1F"/>
          <w:sz w:val="22"/>
          <w:szCs w:val="22"/>
        </w:rPr>
        <w:t xml:space="preserve">75,0%) dalam domain penyakit dan kebutuhan gizi. </w:t>
      </w:r>
      <w:proofErr w:type="gramStart"/>
      <w:r w:rsidRPr="006153AD">
        <w:rPr>
          <w:color w:val="1F1F1F"/>
          <w:sz w:val="22"/>
          <w:szCs w:val="22"/>
        </w:rPr>
        <w:t>Hal ini menunjukkan bahwa sebagian besar responden tidak memiliki kondisi penyakit yang secara signifikan meningkatkan kebutuhan nutrisi.</w:t>
      </w:r>
      <w:proofErr w:type="gramEnd"/>
      <w:r w:rsidRPr="006153AD">
        <w:rPr>
          <w:color w:val="1F1F1F"/>
          <w:sz w:val="22"/>
          <w:szCs w:val="22"/>
        </w:rPr>
        <w:t xml:space="preserve"> Namun demikian, masih terdapat responden yang berada pada kategori gizi ringan/sedang (10</w:t>
      </w:r>
      <w:proofErr w:type="gramStart"/>
      <w:r w:rsidRPr="006153AD">
        <w:rPr>
          <w:color w:val="1F1F1F"/>
          <w:sz w:val="22"/>
          <w:szCs w:val="22"/>
        </w:rPr>
        <w:t>,0</w:t>
      </w:r>
      <w:proofErr w:type="gramEnd"/>
      <w:r w:rsidRPr="006153AD">
        <w:rPr>
          <w:color w:val="1F1F1F"/>
          <w:sz w:val="22"/>
          <w:szCs w:val="22"/>
        </w:rPr>
        <w:t xml:space="preserve">%) dan gizi buruk (15,0%). </w:t>
      </w:r>
    </w:p>
    <w:p w14:paraId="6BA1BD85" w14:textId="08E9680C" w:rsidR="00E543CA" w:rsidRPr="006153AD" w:rsidRDefault="00E543CA" w:rsidP="006153AD">
      <w:pPr>
        <w:pStyle w:val="NormalWeb"/>
        <w:shd w:val="clear" w:color="auto" w:fill="FFFFFF"/>
        <w:spacing w:before="0" w:beforeAutospacing="0" w:after="0" w:afterAutospacing="0"/>
        <w:ind w:firstLine="720"/>
        <w:jc w:val="both"/>
        <w:rPr>
          <w:color w:val="1F1F1F"/>
          <w:sz w:val="22"/>
          <w:szCs w:val="22"/>
        </w:rPr>
      </w:pPr>
      <w:proofErr w:type="gramStart"/>
      <w:r w:rsidRPr="006153AD">
        <w:rPr>
          <w:color w:val="1F1F1F"/>
          <w:sz w:val="22"/>
          <w:szCs w:val="22"/>
        </w:rPr>
        <w:lastRenderedPageBreak/>
        <w:t>Kondisi ini menunjukkan bahwa sebagian responden memiliki penyakit atau kondisi tertentu yang dapat mempengaruhi kebutuhan nutrisi mereka.</w:t>
      </w:r>
      <w:proofErr w:type="gramEnd"/>
      <w:r w:rsidRPr="006153AD">
        <w:rPr>
          <w:color w:val="1F1F1F"/>
          <w:sz w:val="22"/>
          <w:szCs w:val="22"/>
        </w:rPr>
        <w:t xml:space="preserve"> </w:t>
      </w:r>
      <w:proofErr w:type="gramStart"/>
      <w:r w:rsidRPr="006153AD">
        <w:rPr>
          <w:color w:val="1F1F1F"/>
          <w:sz w:val="22"/>
          <w:szCs w:val="22"/>
        </w:rPr>
        <w:t>Penyakit kronis atau infeksi dapat meningkatkan kebutuhan energi dan zat gizi, sehingga jika tidak diimbangi dengan asupan yang adekuat dapat menyebabkan penurunan status nutrisi.</w:t>
      </w:r>
      <w:proofErr w:type="gramEnd"/>
    </w:p>
    <w:p w14:paraId="7D493EB1" w14:textId="77777777" w:rsidR="00F10F5D" w:rsidRDefault="00F10F5D" w:rsidP="006153AD">
      <w:pPr>
        <w:jc w:val="center"/>
        <w:rPr>
          <w:sz w:val="22"/>
          <w:szCs w:val="22"/>
          <w:lang w:val="id-ID"/>
        </w:rPr>
      </w:pPr>
    </w:p>
    <w:p w14:paraId="36F0914D" w14:textId="77777777" w:rsidR="00E543CA" w:rsidRPr="006153AD" w:rsidRDefault="00E543CA" w:rsidP="006153AD">
      <w:pPr>
        <w:jc w:val="center"/>
        <w:rPr>
          <w:sz w:val="22"/>
          <w:szCs w:val="22"/>
        </w:rPr>
      </w:pPr>
      <w:r w:rsidRPr="006153AD">
        <w:rPr>
          <w:sz w:val="22"/>
          <w:szCs w:val="22"/>
        </w:rPr>
        <w:t xml:space="preserve">Tabel </w:t>
      </w:r>
      <w:r w:rsidRPr="006153AD">
        <w:rPr>
          <w:sz w:val="22"/>
          <w:szCs w:val="22"/>
        </w:rPr>
        <w:fldChar w:fldCharType="begin"/>
      </w:r>
      <w:r w:rsidRPr="006153AD">
        <w:rPr>
          <w:sz w:val="22"/>
          <w:szCs w:val="22"/>
        </w:rPr>
        <w:instrText xml:space="preserve"> STYLEREF 1 \s </w:instrText>
      </w:r>
      <w:r w:rsidRPr="006153AD">
        <w:rPr>
          <w:sz w:val="22"/>
          <w:szCs w:val="22"/>
        </w:rPr>
        <w:fldChar w:fldCharType="separate"/>
      </w:r>
      <w:r w:rsidR="00D22FF3">
        <w:rPr>
          <w:b/>
          <w:bCs/>
          <w:noProof/>
          <w:sz w:val="22"/>
          <w:szCs w:val="22"/>
        </w:rPr>
        <w:t>Error! No text of specified style in document.</w:t>
      </w:r>
      <w:r w:rsidRPr="006153AD">
        <w:rPr>
          <w:sz w:val="22"/>
          <w:szCs w:val="22"/>
        </w:rPr>
        <w:fldChar w:fldCharType="end"/>
      </w:r>
      <w:r w:rsidRPr="006153AD">
        <w:rPr>
          <w:sz w:val="22"/>
          <w:szCs w:val="22"/>
        </w:rPr>
        <w:t>.8 Kuesioner Nilai Nutrisi Domain 6 Pemeriksaan Fisik (n=20)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1381"/>
        <w:gridCol w:w="1303"/>
      </w:tblGrid>
      <w:tr w:rsidR="00E543CA" w:rsidRPr="00F10F5D" w14:paraId="4CB0B1BA" w14:textId="77777777" w:rsidTr="00F703C6">
        <w:trPr>
          <w:jc w:val="center"/>
        </w:trPr>
        <w:tc>
          <w:tcPr>
            <w:tcW w:w="2075" w:type="dxa"/>
            <w:tcBorders>
              <w:top w:val="single" w:sz="4" w:space="0" w:color="auto"/>
              <w:bottom w:val="single" w:sz="4" w:space="0" w:color="auto"/>
            </w:tcBorders>
          </w:tcPr>
          <w:p w14:paraId="460305B9" w14:textId="77777777" w:rsidR="00E543CA" w:rsidRPr="00F10F5D" w:rsidRDefault="00E543CA" w:rsidP="006153AD">
            <w:pPr>
              <w:jc w:val="center"/>
              <w:rPr>
                <w:rFonts w:ascii="Times New Roman" w:hAnsi="Times New Roman"/>
                <w:b/>
                <w:bCs/>
                <w:lang w:val="id-ID"/>
              </w:rPr>
            </w:pPr>
            <w:r w:rsidRPr="00F10F5D">
              <w:rPr>
                <w:rFonts w:ascii="Times New Roman" w:hAnsi="Times New Roman"/>
                <w:b/>
                <w:bCs/>
                <w:lang w:val="id-ID"/>
              </w:rPr>
              <w:t>Pemeriksaan Fisik</w:t>
            </w:r>
          </w:p>
        </w:tc>
        <w:tc>
          <w:tcPr>
            <w:tcW w:w="2641" w:type="dxa"/>
            <w:tcBorders>
              <w:top w:val="single" w:sz="4" w:space="0" w:color="auto"/>
              <w:bottom w:val="single" w:sz="4" w:space="0" w:color="auto"/>
            </w:tcBorders>
          </w:tcPr>
          <w:p w14:paraId="7CFF605F" w14:textId="77777777" w:rsidR="00E543CA" w:rsidRPr="00F10F5D" w:rsidRDefault="00E543CA" w:rsidP="006153AD">
            <w:pPr>
              <w:jc w:val="center"/>
              <w:rPr>
                <w:rFonts w:ascii="Times New Roman" w:hAnsi="Times New Roman"/>
                <w:b/>
                <w:bCs/>
                <w:lang w:val="id-ID"/>
              </w:rPr>
            </w:pPr>
            <w:r w:rsidRPr="00F10F5D">
              <w:rPr>
                <w:rFonts w:ascii="Times New Roman" w:hAnsi="Times New Roman"/>
                <w:b/>
                <w:bCs/>
                <w:lang w:val="id-ID"/>
              </w:rPr>
              <w:t>(n)</w:t>
            </w:r>
          </w:p>
        </w:tc>
        <w:tc>
          <w:tcPr>
            <w:tcW w:w="1947" w:type="dxa"/>
            <w:tcBorders>
              <w:top w:val="single" w:sz="4" w:space="0" w:color="auto"/>
              <w:bottom w:val="single" w:sz="4" w:space="0" w:color="auto"/>
            </w:tcBorders>
          </w:tcPr>
          <w:p w14:paraId="6C21185E" w14:textId="77777777" w:rsidR="00E543CA" w:rsidRPr="00F10F5D" w:rsidRDefault="00E543CA" w:rsidP="006153AD">
            <w:pPr>
              <w:jc w:val="center"/>
              <w:rPr>
                <w:rFonts w:ascii="Times New Roman" w:hAnsi="Times New Roman"/>
                <w:b/>
                <w:bCs/>
                <w:lang w:val="id-ID"/>
              </w:rPr>
            </w:pPr>
            <w:r w:rsidRPr="00F10F5D">
              <w:rPr>
                <w:rFonts w:ascii="Times New Roman" w:hAnsi="Times New Roman"/>
                <w:b/>
                <w:bCs/>
                <w:lang w:val="id-ID"/>
              </w:rPr>
              <w:t>%</w:t>
            </w:r>
          </w:p>
        </w:tc>
      </w:tr>
      <w:tr w:rsidR="00E543CA" w:rsidRPr="00F10F5D" w14:paraId="673DED6B" w14:textId="77777777" w:rsidTr="00F703C6">
        <w:trPr>
          <w:jc w:val="center"/>
        </w:trPr>
        <w:tc>
          <w:tcPr>
            <w:tcW w:w="2075" w:type="dxa"/>
            <w:tcBorders>
              <w:top w:val="single" w:sz="4" w:space="0" w:color="auto"/>
            </w:tcBorders>
          </w:tcPr>
          <w:p w14:paraId="319F15D9"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Gizi Baik/Normal</w:t>
            </w:r>
          </w:p>
        </w:tc>
        <w:tc>
          <w:tcPr>
            <w:tcW w:w="2641" w:type="dxa"/>
            <w:tcBorders>
              <w:top w:val="single" w:sz="4" w:space="0" w:color="auto"/>
            </w:tcBorders>
          </w:tcPr>
          <w:p w14:paraId="3F15E12D"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6</w:t>
            </w:r>
          </w:p>
        </w:tc>
        <w:tc>
          <w:tcPr>
            <w:tcW w:w="1947" w:type="dxa"/>
            <w:tcBorders>
              <w:top w:val="single" w:sz="4" w:space="0" w:color="auto"/>
            </w:tcBorders>
          </w:tcPr>
          <w:p w14:paraId="456C4FCB"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30.0%</w:t>
            </w:r>
          </w:p>
        </w:tc>
      </w:tr>
      <w:tr w:rsidR="00E543CA" w:rsidRPr="00F10F5D" w14:paraId="6B13412D" w14:textId="77777777" w:rsidTr="00F703C6">
        <w:trPr>
          <w:jc w:val="center"/>
        </w:trPr>
        <w:tc>
          <w:tcPr>
            <w:tcW w:w="2075" w:type="dxa"/>
          </w:tcPr>
          <w:p w14:paraId="4DCA176F"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Gizi Ringan/Sedang</w:t>
            </w:r>
          </w:p>
        </w:tc>
        <w:tc>
          <w:tcPr>
            <w:tcW w:w="2641" w:type="dxa"/>
          </w:tcPr>
          <w:p w14:paraId="5CF1D6F0"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11</w:t>
            </w:r>
          </w:p>
        </w:tc>
        <w:tc>
          <w:tcPr>
            <w:tcW w:w="1947" w:type="dxa"/>
          </w:tcPr>
          <w:p w14:paraId="44CF9851"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55.0%</w:t>
            </w:r>
          </w:p>
        </w:tc>
      </w:tr>
      <w:tr w:rsidR="00E543CA" w:rsidRPr="00F10F5D" w14:paraId="7C1D54C5" w14:textId="77777777" w:rsidTr="00F703C6">
        <w:trPr>
          <w:jc w:val="center"/>
        </w:trPr>
        <w:tc>
          <w:tcPr>
            <w:tcW w:w="2075" w:type="dxa"/>
          </w:tcPr>
          <w:p w14:paraId="5CB84ED0"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Gizi Buruk</w:t>
            </w:r>
          </w:p>
        </w:tc>
        <w:tc>
          <w:tcPr>
            <w:tcW w:w="2641" w:type="dxa"/>
          </w:tcPr>
          <w:p w14:paraId="25B457F5"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3</w:t>
            </w:r>
          </w:p>
        </w:tc>
        <w:tc>
          <w:tcPr>
            <w:tcW w:w="1947" w:type="dxa"/>
          </w:tcPr>
          <w:p w14:paraId="129F160B"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15.0%</w:t>
            </w:r>
          </w:p>
        </w:tc>
      </w:tr>
      <w:tr w:rsidR="00E543CA" w:rsidRPr="00F10F5D" w14:paraId="3408F1FB" w14:textId="77777777" w:rsidTr="00F703C6">
        <w:trPr>
          <w:jc w:val="center"/>
        </w:trPr>
        <w:tc>
          <w:tcPr>
            <w:tcW w:w="2075" w:type="dxa"/>
            <w:tcBorders>
              <w:bottom w:val="single" w:sz="4" w:space="0" w:color="auto"/>
            </w:tcBorders>
          </w:tcPr>
          <w:p w14:paraId="0C4A134A"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Total</w:t>
            </w:r>
          </w:p>
        </w:tc>
        <w:tc>
          <w:tcPr>
            <w:tcW w:w="2641" w:type="dxa"/>
            <w:tcBorders>
              <w:bottom w:val="single" w:sz="4" w:space="0" w:color="auto"/>
            </w:tcBorders>
          </w:tcPr>
          <w:p w14:paraId="10D2ABF8"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20</w:t>
            </w:r>
          </w:p>
        </w:tc>
        <w:tc>
          <w:tcPr>
            <w:tcW w:w="1947" w:type="dxa"/>
            <w:tcBorders>
              <w:bottom w:val="single" w:sz="4" w:space="0" w:color="auto"/>
            </w:tcBorders>
          </w:tcPr>
          <w:p w14:paraId="7D1BF167" w14:textId="77777777" w:rsidR="00E543CA" w:rsidRPr="00F10F5D" w:rsidRDefault="00E543CA" w:rsidP="006153AD">
            <w:pPr>
              <w:jc w:val="center"/>
              <w:rPr>
                <w:rFonts w:ascii="Times New Roman" w:hAnsi="Times New Roman"/>
                <w:lang w:val="id-ID"/>
              </w:rPr>
            </w:pPr>
            <w:r w:rsidRPr="00F10F5D">
              <w:rPr>
                <w:rFonts w:ascii="Times New Roman" w:hAnsi="Times New Roman"/>
                <w:lang w:val="id-ID"/>
              </w:rPr>
              <w:t>100.0%</w:t>
            </w:r>
          </w:p>
        </w:tc>
      </w:tr>
    </w:tbl>
    <w:p w14:paraId="30468AB6" w14:textId="77777777" w:rsidR="00F10F5D" w:rsidRDefault="00E543CA" w:rsidP="006153AD">
      <w:pPr>
        <w:pStyle w:val="NormalWeb"/>
        <w:shd w:val="clear" w:color="auto" w:fill="FFFFFF"/>
        <w:spacing w:before="0" w:beforeAutospacing="0" w:after="0" w:afterAutospacing="0"/>
        <w:ind w:firstLine="720"/>
        <w:jc w:val="both"/>
        <w:rPr>
          <w:color w:val="1F1F1F"/>
          <w:sz w:val="22"/>
          <w:szCs w:val="22"/>
          <w:lang w:val="id-ID"/>
        </w:rPr>
      </w:pPr>
      <w:r w:rsidRPr="006153AD">
        <w:rPr>
          <w:color w:val="1F1F1F"/>
          <w:sz w:val="22"/>
          <w:szCs w:val="22"/>
        </w:rPr>
        <w:t>Berdasarkan Tabel 4.8, hasil penelitian sebagian besar responden berada pada kategori gizi ringan/sedang (55</w:t>
      </w:r>
      <w:proofErr w:type="gramStart"/>
      <w:r w:rsidRPr="006153AD">
        <w:rPr>
          <w:color w:val="1F1F1F"/>
          <w:sz w:val="22"/>
          <w:szCs w:val="22"/>
        </w:rPr>
        <w:t>,0</w:t>
      </w:r>
      <w:proofErr w:type="gramEnd"/>
      <w:r w:rsidRPr="006153AD">
        <w:rPr>
          <w:color w:val="1F1F1F"/>
          <w:sz w:val="22"/>
          <w:szCs w:val="22"/>
        </w:rPr>
        <w:t xml:space="preserve">%), diikuti oleh gizi baik (30,0%) dan gizi buruk (15,0%). </w:t>
      </w:r>
    </w:p>
    <w:p w14:paraId="563803DF" w14:textId="1D444196" w:rsidR="00E543CA" w:rsidRDefault="00E543CA" w:rsidP="006153AD">
      <w:pPr>
        <w:pStyle w:val="NormalWeb"/>
        <w:shd w:val="clear" w:color="auto" w:fill="FFFFFF"/>
        <w:spacing w:before="0" w:beforeAutospacing="0" w:after="0" w:afterAutospacing="0"/>
        <w:ind w:firstLine="720"/>
        <w:jc w:val="both"/>
        <w:rPr>
          <w:color w:val="1F1F1F"/>
          <w:sz w:val="22"/>
          <w:szCs w:val="22"/>
          <w:lang w:val="id-ID"/>
        </w:rPr>
      </w:pPr>
      <w:r w:rsidRPr="006153AD">
        <w:rPr>
          <w:color w:val="1F1F1F"/>
          <w:sz w:val="22"/>
          <w:szCs w:val="22"/>
        </w:rPr>
        <w:t xml:space="preserve">Pemeriksaan fisik dalam SGA meliputi penilaian terhadap kehilangan lemak subkutan, </w:t>
      </w:r>
      <w:proofErr w:type="gramStart"/>
      <w:r w:rsidRPr="006153AD">
        <w:rPr>
          <w:color w:val="1F1F1F"/>
          <w:sz w:val="22"/>
          <w:szCs w:val="22"/>
        </w:rPr>
        <w:t>massa</w:t>
      </w:r>
      <w:proofErr w:type="gramEnd"/>
      <w:r w:rsidRPr="006153AD">
        <w:rPr>
          <w:color w:val="1F1F1F"/>
          <w:sz w:val="22"/>
          <w:szCs w:val="22"/>
        </w:rPr>
        <w:t xml:space="preserve"> otot, serta adanya edema. </w:t>
      </w:r>
      <w:proofErr w:type="gramStart"/>
      <w:r w:rsidRPr="006153AD">
        <w:rPr>
          <w:color w:val="1F1F1F"/>
          <w:sz w:val="22"/>
          <w:szCs w:val="22"/>
        </w:rPr>
        <w:t>Temuan ini menunjukkan bahwa sebagian besar responden telah mengalami tanda-tanda awal malnutrisi yang dapat dilihat secara klinis.</w:t>
      </w:r>
      <w:proofErr w:type="gramEnd"/>
      <w:r w:rsidRPr="006153AD">
        <w:rPr>
          <w:color w:val="1F1F1F"/>
          <w:sz w:val="22"/>
          <w:szCs w:val="22"/>
        </w:rPr>
        <w:t xml:space="preserve"> Penurunan </w:t>
      </w:r>
      <w:proofErr w:type="gramStart"/>
      <w:r w:rsidRPr="006153AD">
        <w:rPr>
          <w:color w:val="1F1F1F"/>
          <w:sz w:val="22"/>
          <w:szCs w:val="22"/>
        </w:rPr>
        <w:t>massa</w:t>
      </w:r>
      <w:proofErr w:type="gramEnd"/>
      <w:r w:rsidRPr="006153AD">
        <w:rPr>
          <w:color w:val="1F1F1F"/>
          <w:sz w:val="22"/>
          <w:szCs w:val="22"/>
        </w:rPr>
        <w:t xml:space="preserve"> otot dan lemak tubuh merupakan indikator penting dari kekurangan nutrisi yang berlangsung dalam jangka waktu tertentu. </w:t>
      </w:r>
      <w:proofErr w:type="gramStart"/>
      <w:r w:rsidRPr="006153AD">
        <w:rPr>
          <w:color w:val="1F1F1F"/>
          <w:sz w:val="22"/>
          <w:szCs w:val="22"/>
        </w:rPr>
        <w:t>Pemeriksaan fisik menjadi komponen penting dalam penilaian SGA karena dapat memberikan gambaran objektif mengenai kondisi nutrisi pasien yang tidak selalu terlihat dari data antropometri saja.</w:t>
      </w:r>
      <w:proofErr w:type="gramEnd"/>
    </w:p>
    <w:p w14:paraId="5E94C652" w14:textId="77777777" w:rsidR="00F10F5D" w:rsidRPr="00F10F5D" w:rsidRDefault="00F10F5D" w:rsidP="006153AD">
      <w:pPr>
        <w:pStyle w:val="NormalWeb"/>
        <w:shd w:val="clear" w:color="auto" w:fill="FFFFFF"/>
        <w:spacing w:before="0" w:beforeAutospacing="0" w:after="0" w:afterAutospacing="0"/>
        <w:ind w:firstLine="720"/>
        <w:jc w:val="both"/>
        <w:rPr>
          <w:color w:val="1F1F1F"/>
          <w:sz w:val="22"/>
          <w:szCs w:val="22"/>
          <w:lang w:val="id-ID"/>
        </w:rPr>
      </w:pPr>
    </w:p>
    <w:p w14:paraId="3DF96C1C" w14:textId="047B5C60" w:rsidR="00E543CA" w:rsidRDefault="00F10F5D" w:rsidP="00F10F5D">
      <w:pPr>
        <w:pStyle w:val="Heading2"/>
        <w:spacing w:before="0" w:after="0"/>
        <w:rPr>
          <w:sz w:val="22"/>
          <w:szCs w:val="22"/>
          <w:lang w:val="id-ID"/>
        </w:rPr>
      </w:pPr>
      <w:r w:rsidRPr="006153AD">
        <w:rPr>
          <w:sz w:val="22"/>
          <w:szCs w:val="22"/>
        </w:rPr>
        <w:t xml:space="preserve">PEMBAHASAN </w:t>
      </w:r>
    </w:p>
    <w:p w14:paraId="0B9385E0" w14:textId="77777777" w:rsidR="00F10F5D" w:rsidRPr="00F10F5D" w:rsidRDefault="00F10F5D" w:rsidP="00F10F5D">
      <w:pPr>
        <w:rPr>
          <w:lang w:val="id-ID"/>
        </w:rPr>
      </w:pPr>
    </w:p>
    <w:p w14:paraId="24B54FCE" w14:textId="77777777" w:rsidR="00E543CA" w:rsidRPr="00F10F5D" w:rsidRDefault="00E543CA" w:rsidP="00F10F5D">
      <w:pPr>
        <w:rPr>
          <w:b/>
          <w:bCs/>
          <w:sz w:val="22"/>
          <w:szCs w:val="22"/>
        </w:rPr>
      </w:pPr>
      <w:r w:rsidRPr="00F10F5D">
        <w:rPr>
          <w:b/>
          <w:bCs/>
          <w:sz w:val="22"/>
          <w:szCs w:val="22"/>
        </w:rPr>
        <w:t>Karakteristik Responden Berdasarkan Data Demografi</w:t>
      </w:r>
    </w:p>
    <w:p w14:paraId="30B52A4C" w14:textId="77777777" w:rsidR="00F10F5D" w:rsidRDefault="00E543CA" w:rsidP="00F10F5D">
      <w:pPr>
        <w:ind w:firstLine="709"/>
        <w:jc w:val="both"/>
        <w:rPr>
          <w:sz w:val="22"/>
          <w:szCs w:val="22"/>
          <w:lang w:val="id-ID"/>
        </w:rPr>
      </w:pPr>
      <w:r w:rsidRPr="006153AD">
        <w:rPr>
          <w:sz w:val="22"/>
          <w:szCs w:val="22"/>
        </w:rPr>
        <w:t>Berdasarkan hasil penelitian menunjukkan bahwa mayoritas responden pasien limfoma di RSUD Sayang Cianjur berada pada rentang usia dewasa pertengahan yaitu 39–48 tahun (25</w:t>
      </w:r>
      <w:proofErr w:type="gramStart"/>
      <w:r w:rsidRPr="006153AD">
        <w:rPr>
          <w:sz w:val="22"/>
          <w:szCs w:val="22"/>
        </w:rPr>
        <w:t>,0</w:t>
      </w:r>
      <w:proofErr w:type="gramEnd"/>
      <w:r w:rsidRPr="006153AD">
        <w:rPr>
          <w:sz w:val="22"/>
          <w:szCs w:val="22"/>
        </w:rPr>
        <w:t xml:space="preserve">%). Hal ini mengindikasikan bahwa penyakit limfoma banyak ditemukan pada kelompok </w:t>
      </w:r>
      <w:proofErr w:type="gramStart"/>
      <w:r w:rsidRPr="006153AD">
        <w:rPr>
          <w:sz w:val="22"/>
          <w:szCs w:val="22"/>
        </w:rPr>
        <w:t>usia</w:t>
      </w:r>
      <w:proofErr w:type="gramEnd"/>
      <w:r w:rsidRPr="006153AD">
        <w:rPr>
          <w:sz w:val="22"/>
          <w:szCs w:val="22"/>
        </w:rPr>
        <w:t xml:space="preserve"> produktif. Kondisi ini sejalan dengan penelitian yang menyatakan bahwa insiden kanker meningkat pada usia dewasa akibat akumulasi kerusakan sel dan penurunan sistem imun seiring bertambahnya usia  </w:t>
      </w:r>
      <w:r w:rsidRPr="006153AD">
        <w:rPr>
          <w:sz w:val="22"/>
          <w:szCs w:val="22"/>
        </w:rPr>
        <w:fldChar w:fldCharType="begin" w:fldLock="1"/>
      </w:r>
      <w:r w:rsidRPr="006153AD">
        <w:rPr>
          <w:sz w:val="22"/>
          <w:szCs w:val="22"/>
        </w:rPr>
        <w:instrText>ADDIN CSL_CITATION {"citationItems":[{"id":"ITEM-1","itemData":{"DOI":"10.1016/j.clnu.2021.02.005","ISSN":"0261-5614","author":[{"dropping-particle":"","family":"Muscaritoli","given":"Maurizio","non-dropping-particle":"","parse-names":false,"suffix":""},{"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Oldervoll","given":"Line","non-dropping-particle":"","parse-names":false,"suffix":""},{"dropping-particle":"","family":"Ravasco","given":"Paula","non-dropping-particle":"","parse-names":false,"suffix":""},{"dropping-particle":"","family":"Solheim","given":"Tora S","non-dropping-particle":"","parse-names":false,"suffix":""},{"dropping-particle":"","family":"Strasser","given":"Florian","non-dropping-particle":"","parse-names":false,"suffix":""},{"dropping-particle":"Van Der","family":"Schueren","given":"Marian De","non-dropping-particle":"","parse-names":false,"suffix":""},{"dropping-particle":"","family":"Preiser","given":"Jean-charles","non-dropping-particle":"","parse-names":false,"suffix":""},{"dropping-particle":"","family":"Bischoff","given":"Stephan C","non-dropping-particle":"","parse-names":false,"suffix":""}],"container-title":"Clinical Nutrition","id":"ITEM-1","issue":"5","issued":{"date-parts":[["2021"]]},"page":"2898-2913","publisher":"Elsevier Ltd","title":"ESPEN Guideline ESPEN practical guideline : Clinical Nutrition in cancer","type":"article-journal","volume":"40"},"uris":["http://www.mendeley.com/documents/?uuid=0bd59101-3e44-4d87-a565-2c9b7b27a83f"]}],"mendeley":{"formattedCitation":"(Muscaritoli et al., 2021)","plainTextFormattedCitation":"(Muscaritoli et al., 2021)","previouslyFormattedCitation":"(Muscaritoli et al., 2021)"},"properties":{"noteIndex":0},"schema":"https://github.com/citation-style-language/schema/raw/master/csl-citation.json"}</w:instrText>
      </w:r>
      <w:r w:rsidRPr="006153AD">
        <w:rPr>
          <w:sz w:val="22"/>
          <w:szCs w:val="22"/>
        </w:rPr>
        <w:fldChar w:fldCharType="separate"/>
      </w:r>
      <w:r w:rsidRPr="006153AD">
        <w:rPr>
          <w:noProof/>
          <w:sz w:val="22"/>
          <w:szCs w:val="22"/>
        </w:rPr>
        <w:t>(Muscaritoli et al., 2021)</w:t>
      </w:r>
      <w:r w:rsidRPr="006153AD">
        <w:rPr>
          <w:sz w:val="22"/>
          <w:szCs w:val="22"/>
        </w:rPr>
        <w:fldChar w:fldCharType="end"/>
      </w:r>
      <w:r w:rsidRPr="006153AD">
        <w:rPr>
          <w:sz w:val="22"/>
          <w:szCs w:val="22"/>
        </w:rPr>
        <w:t xml:space="preserve">. </w:t>
      </w:r>
    </w:p>
    <w:p w14:paraId="5C23DF86" w14:textId="77777777" w:rsidR="00F10F5D" w:rsidRDefault="00E543CA" w:rsidP="00F10F5D">
      <w:pPr>
        <w:ind w:firstLine="709"/>
        <w:jc w:val="both"/>
        <w:rPr>
          <w:sz w:val="22"/>
          <w:szCs w:val="22"/>
          <w:lang w:val="id-ID"/>
        </w:rPr>
      </w:pPr>
      <w:r w:rsidRPr="006153AD">
        <w:rPr>
          <w:sz w:val="22"/>
          <w:szCs w:val="22"/>
        </w:rPr>
        <w:lastRenderedPageBreak/>
        <w:t xml:space="preserve">Dari segi jenis kelamin, mayoritas responden adalah </w:t>
      </w:r>
      <w:proofErr w:type="gramStart"/>
      <w:r w:rsidRPr="006153AD">
        <w:rPr>
          <w:sz w:val="22"/>
          <w:szCs w:val="22"/>
        </w:rPr>
        <w:t>perempuan  (</w:t>
      </w:r>
      <w:proofErr w:type="gramEnd"/>
      <w:r w:rsidRPr="006153AD">
        <w:rPr>
          <w:sz w:val="22"/>
          <w:szCs w:val="22"/>
        </w:rPr>
        <w:t xml:space="preserve">70,0%). Temuan ini dapat dikaitkan dengan perbedaan faktor hormonal serta perilaku pencarian layanan kesehatan, di mana perempuan cenderung lebih aktif dalam mengakses layanan kesehatan dibandingkan laki-laki </w:t>
      </w:r>
      <w:r w:rsidRPr="006153AD">
        <w:rPr>
          <w:sz w:val="22"/>
          <w:szCs w:val="22"/>
        </w:rPr>
        <w:fldChar w:fldCharType="begin" w:fldLock="1"/>
      </w:r>
      <w:r w:rsidRPr="006153AD">
        <w:rPr>
          <w:sz w:val="22"/>
          <w:szCs w:val="22"/>
        </w:rPr>
        <w:instrText>ADDIN CSL_CITATION {"citationItems":[{"id":"ITEM-1","itemData":{"author":[{"dropping-particle":"","family":"Shantini","given":"Devi","non-dropping-particle":"","parse-names":false,"suffix":""},{"dropping-particle":"","family":"Mohan","given":"Rata","non-dropping-particle":"","parse-names":false,"suffix":""},{"dropping-particle":"","family":"Jawahir","given":"Suhana","non-dropping-particle":"","parse-names":false,"suffix":""},{"dropping-particle":"","family":"Manual","given":"Adilius","non-dropping-particle":"","parse-names":false,"suffix":""},{"dropping-particle":"","family":"Elina","given":"Nur","non-dropping-particle":"","parse-names":false,"suffix":""},{"dropping-particle":"","family":"Mutalib","given":"Abdul","non-dropping-particle":"","parse-names":false,"suffix":""},{"dropping-particle":"","family":"Nurain","given":"Sarah","non-dropping-particle":"","parse-names":false,"suffix":""},{"dropping-particle":"","family":"Noh","given":"Mohd","non-dropping-particle":"","parse-names":false,"suffix":""},{"dropping-particle":"","family":"Rahim","given":"Iqbal Ab","non-dropping-particle":"","parse-names":false,"suffix":""},{"dropping-particle":"","family":"Hamid","given":"Jabrullah Ab","non-dropping-particle":"","parse-names":false,"suffix":""},{"dropping-particle":"","family":"Nordin","given":"Awatef Amer","non-dropping-particle":"","parse-names":false,"suffix":""}],"id":"ITEM-1","issued":{"date-parts":[["2025"]]},"title":"Gender differences in health-seeking behaviour : insights from the National Health and Morbidity Survey 2019","type":"article-journal","volume":"0"},"uris":["http://www.mendeley.com/documents/?uuid=e75c5207-4355-49df-ad60-19c2a164bbe1"]}],"mendeley":{"formattedCitation":"(Shantini et al., 2025)","plainTextFormattedCitation":"(Shantini et al., 2025)","previouslyFormattedCitation":"(Shantini et al., 2025)"},"properties":{"noteIndex":0},"schema":"https://github.com/citation-style-language/schema/raw/master/csl-citation.json"}</w:instrText>
      </w:r>
      <w:r w:rsidRPr="006153AD">
        <w:rPr>
          <w:sz w:val="22"/>
          <w:szCs w:val="22"/>
        </w:rPr>
        <w:fldChar w:fldCharType="separate"/>
      </w:r>
      <w:r w:rsidRPr="006153AD">
        <w:rPr>
          <w:noProof/>
          <w:sz w:val="22"/>
          <w:szCs w:val="22"/>
        </w:rPr>
        <w:t>(Shantini et al., 2025)</w:t>
      </w:r>
      <w:r w:rsidRPr="006153AD">
        <w:rPr>
          <w:sz w:val="22"/>
          <w:szCs w:val="22"/>
        </w:rPr>
        <w:fldChar w:fldCharType="end"/>
      </w:r>
      <w:r w:rsidRPr="006153AD">
        <w:rPr>
          <w:sz w:val="22"/>
          <w:szCs w:val="22"/>
        </w:rPr>
        <w:t xml:space="preserve">. </w:t>
      </w:r>
      <w:proofErr w:type="gramStart"/>
      <w:r w:rsidRPr="006153AD">
        <w:rPr>
          <w:sz w:val="22"/>
          <w:szCs w:val="22"/>
        </w:rPr>
        <w:t>Selain itu, perempuan juga memiliki risiko gangguan nutrisi akibat perubahan fisiologis yang mempengaruhi metabolisme tubuh.</w:t>
      </w:r>
      <w:proofErr w:type="gramEnd"/>
      <w:r w:rsidRPr="006153AD">
        <w:rPr>
          <w:sz w:val="22"/>
          <w:szCs w:val="22"/>
        </w:rPr>
        <w:t xml:space="preserve"> </w:t>
      </w:r>
    </w:p>
    <w:p w14:paraId="0EBC870B" w14:textId="77777777" w:rsidR="00F10F5D" w:rsidRDefault="00E543CA" w:rsidP="00F10F5D">
      <w:pPr>
        <w:ind w:firstLine="709"/>
        <w:jc w:val="both"/>
        <w:rPr>
          <w:sz w:val="22"/>
          <w:szCs w:val="22"/>
          <w:lang w:val="id-ID"/>
        </w:rPr>
      </w:pPr>
      <w:r w:rsidRPr="006153AD">
        <w:rPr>
          <w:sz w:val="22"/>
          <w:szCs w:val="22"/>
        </w:rPr>
        <w:t>Dilihat dari tingkat pendidikan, mayoritas responden adalah lulusan SMP (40</w:t>
      </w:r>
      <w:proofErr w:type="gramStart"/>
      <w:r w:rsidRPr="006153AD">
        <w:rPr>
          <w:sz w:val="22"/>
          <w:szCs w:val="22"/>
        </w:rPr>
        <w:t>,0</w:t>
      </w:r>
      <w:proofErr w:type="gramEnd"/>
      <w:r w:rsidRPr="006153AD">
        <w:rPr>
          <w:sz w:val="22"/>
          <w:szCs w:val="22"/>
        </w:rPr>
        <w:t xml:space="preserve">%) dan SMA/SMK (30,0%). </w:t>
      </w:r>
      <w:proofErr w:type="gramStart"/>
      <w:r w:rsidRPr="006153AD">
        <w:rPr>
          <w:sz w:val="22"/>
          <w:szCs w:val="22"/>
        </w:rPr>
        <w:t>Tingkat pendidikan berpengaruh terhadap pemahaman individu mengenai pentingnya pemenuhan nutrisi.</w:t>
      </w:r>
      <w:proofErr w:type="gramEnd"/>
      <w:r w:rsidRPr="006153AD">
        <w:rPr>
          <w:sz w:val="22"/>
          <w:szCs w:val="22"/>
        </w:rPr>
        <w:t xml:space="preserve"> Penelitian menunjukkan bahwa rendahnya tingkat pendidikan berkorelasi dengan rendahnya literasi kesehatan, termasuk dalam pengelolaan nutrisi pasien kanker </w:t>
      </w:r>
      <w:r w:rsidRPr="006153AD">
        <w:rPr>
          <w:sz w:val="22"/>
          <w:szCs w:val="22"/>
        </w:rPr>
        <w:fldChar w:fldCharType="begin" w:fldLock="1"/>
      </w:r>
      <w:r w:rsidRPr="006153AD">
        <w:rPr>
          <w:sz w:val="22"/>
          <w:szCs w:val="22"/>
        </w:rPr>
        <w:instrText>ADDIN CSL_CITATION {"citationItems":[{"id":"ITEM-1","itemData":{"DOI":"10.1093/heapro/daaa157","author":[{"dropping-particle":"","family":"Nutbeam","given":"Don","non-dropping-particle":"","parse-names":false,"suffix":""}],"id":"ITEM-1","issue":"April","issued":{"date-parts":[["2021"]]},"page":"1578-1598","title":"Health Promotion Glossary 2021","type":"article-journal"},"uris":["http://www.mendeley.com/documents/?uuid=abd0850e-c80d-4b69-b02e-52a2e17565f2"]}],"mendeley":{"formattedCitation":"(Nutbeam, 2021)","plainTextFormattedCitation":"(Nutbeam, 2021)","previouslyFormattedCitation":"(Nutbeam, 2021)"},"properties":{"noteIndex":0},"schema":"https://github.com/citation-style-language/schema/raw/master/csl-citation.json"}</w:instrText>
      </w:r>
      <w:r w:rsidRPr="006153AD">
        <w:rPr>
          <w:sz w:val="22"/>
          <w:szCs w:val="22"/>
        </w:rPr>
        <w:fldChar w:fldCharType="separate"/>
      </w:r>
      <w:r w:rsidRPr="006153AD">
        <w:rPr>
          <w:noProof/>
          <w:sz w:val="22"/>
          <w:szCs w:val="22"/>
        </w:rPr>
        <w:t>(Nutbeam, 2021)</w:t>
      </w:r>
      <w:r w:rsidRPr="006153AD">
        <w:rPr>
          <w:sz w:val="22"/>
          <w:szCs w:val="22"/>
        </w:rPr>
        <w:fldChar w:fldCharType="end"/>
      </w:r>
      <w:r w:rsidRPr="006153AD">
        <w:rPr>
          <w:sz w:val="22"/>
          <w:szCs w:val="22"/>
        </w:rPr>
        <w:t xml:space="preserve">. </w:t>
      </w:r>
    </w:p>
    <w:p w14:paraId="0B814487" w14:textId="77777777" w:rsidR="00F10F5D" w:rsidRDefault="00E543CA" w:rsidP="00F10F5D">
      <w:pPr>
        <w:ind w:firstLine="709"/>
        <w:jc w:val="both"/>
        <w:rPr>
          <w:sz w:val="22"/>
          <w:szCs w:val="22"/>
          <w:lang w:val="id-ID"/>
        </w:rPr>
      </w:pPr>
      <w:r w:rsidRPr="006153AD">
        <w:rPr>
          <w:sz w:val="22"/>
          <w:szCs w:val="22"/>
        </w:rPr>
        <w:t>Pada aspek pekerjaan, mayoritas responden adalah ibu rumah tangga (60</w:t>
      </w:r>
      <w:proofErr w:type="gramStart"/>
      <w:r w:rsidRPr="006153AD">
        <w:rPr>
          <w:sz w:val="22"/>
          <w:szCs w:val="22"/>
        </w:rPr>
        <w:t>,0</w:t>
      </w:r>
      <w:proofErr w:type="gramEnd"/>
      <w:r w:rsidRPr="006153AD">
        <w:rPr>
          <w:sz w:val="22"/>
          <w:szCs w:val="22"/>
        </w:rPr>
        <w:t xml:space="preserve">%) dengan kondisi tidak memiliki penghasilan tetap (50,0%). </w:t>
      </w:r>
      <w:proofErr w:type="gramStart"/>
      <w:r w:rsidRPr="006153AD">
        <w:rPr>
          <w:sz w:val="22"/>
          <w:szCs w:val="22"/>
        </w:rPr>
        <w:t>Kondisi ini tidak selalu menunjukkan bahwa responden mengalami keterbatasan ekonomi secara langsung, karena sebagian besar responden masih memperoleh dukungan finansial dari pasangan atau anggota keluarga lainnya.</w:t>
      </w:r>
      <w:proofErr w:type="gramEnd"/>
      <w:r w:rsidRPr="006153AD">
        <w:rPr>
          <w:sz w:val="22"/>
          <w:szCs w:val="22"/>
        </w:rPr>
        <w:t xml:space="preserve"> </w:t>
      </w:r>
      <w:proofErr w:type="gramStart"/>
      <w:r w:rsidRPr="006153AD">
        <w:rPr>
          <w:sz w:val="22"/>
          <w:szCs w:val="22"/>
        </w:rPr>
        <w:t>Namun demikian, ketergantungan ekonomi dapat mempengaruhi kemampuan pasien dalam memenuhi kebutuhan nutrisi selama menjalani pengobatan, terutama apabila biaya terapi dan kebutuhan sehari-hari meningkat.</w:t>
      </w:r>
      <w:proofErr w:type="gramEnd"/>
      <w:r w:rsidRPr="006153AD">
        <w:rPr>
          <w:sz w:val="22"/>
          <w:szCs w:val="22"/>
        </w:rPr>
        <w:t xml:space="preserve"> </w:t>
      </w:r>
    </w:p>
    <w:p w14:paraId="0F793ED5" w14:textId="77777777" w:rsidR="00F10F5D" w:rsidRDefault="00E543CA" w:rsidP="00F10F5D">
      <w:pPr>
        <w:ind w:firstLine="709"/>
        <w:jc w:val="both"/>
        <w:rPr>
          <w:sz w:val="22"/>
          <w:szCs w:val="22"/>
          <w:lang w:val="id-ID"/>
        </w:rPr>
      </w:pPr>
      <w:r w:rsidRPr="006153AD">
        <w:rPr>
          <w:sz w:val="22"/>
          <w:szCs w:val="22"/>
        </w:rPr>
        <w:t xml:space="preserve">Selain faktor ekonomi, kondisi penyakit limfoma dan efek samping terapi seperti kelelahan, mual, penurunan nafsu makan, dan kelemahan fisik juga dapat menyebabkan pasien kurang termotivasi dalam memenuhi kebutuhan makan secara optimal </w:t>
      </w:r>
      <w:r w:rsidRPr="006153AD">
        <w:rPr>
          <w:sz w:val="22"/>
          <w:szCs w:val="22"/>
        </w:rPr>
        <w:fldChar w:fldCharType="begin" w:fldLock="1"/>
      </w:r>
      <w:r w:rsidRPr="006153AD">
        <w:rPr>
          <w:sz w:val="22"/>
          <w:szCs w:val="22"/>
        </w:rPr>
        <w:instrText>ADDIN CSL_CITATION {"citationItems":[{"id":"ITEM-1","itemData":{"DOI":"10.3389/fonc.2020.01190","author":[{"dropping-particle":"","family":"Tang","given":"Yong","non-dropping-particle":"","parse-names":false,"suffix":""},{"dropping-particle":"","family":"Deng","given":"Ning","non-dropping-particle":"","parse-names":false,"suffix":""}],"id":"ITEM-1","issue":"July","issued":{"date-parts":[["2020"]]},"title":"RETRACTED: The Design, Characterizations, and Tumor Angiogenesis Inhibition of a Multi-Epitope Peptibody With bFGF/VEGFA","type":"article-journal","volume":"10"},"uris":["http://www.mendeley.com/documents/?uuid=d58b2e18-b563-4f77-8b38-979ab22e83c0"]}],"mendeley":{"formattedCitation":"(Y. Tang &amp; Deng, 2020)","plainTextFormattedCitation":"(Y. Tang &amp; Deng, 2020)","previouslyFormattedCitation":"(Y. Tang &amp; Deng, 2020)"},"properties":{"noteIndex":0},"schema":"https://github.com/citation-style-language/schema/raw/master/csl-citation.json"}</w:instrText>
      </w:r>
      <w:r w:rsidRPr="006153AD">
        <w:rPr>
          <w:sz w:val="22"/>
          <w:szCs w:val="22"/>
        </w:rPr>
        <w:fldChar w:fldCharType="separate"/>
      </w:r>
      <w:r w:rsidRPr="006153AD">
        <w:rPr>
          <w:noProof/>
          <w:sz w:val="22"/>
          <w:szCs w:val="22"/>
        </w:rPr>
        <w:t>(Y. Tang &amp; Deng, 2020)</w:t>
      </w:r>
      <w:r w:rsidRPr="006153AD">
        <w:rPr>
          <w:sz w:val="22"/>
          <w:szCs w:val="22"/>
        </w:rPr>
        <w:fldChar w:fldCharType="end"/>
      </w:r>
      <w:r w:rsidRPr="006153AD">
        <w:rPr>
          <w:sz w:val="22"/>
          <w:szCs w:val="22"/>
        </w:rPr>
        <w:t xml:space="preserve">. Oleh karena itu, status nutrisi pasien tidak hanya dipengaruhi oleh kondisi ekonomi, tetapi juga oleh kondisi fisik, psikologis, dukungan keluarga, serta kemampuan pasien dalam menjalani perawatan secara berkelanjutan </w:t>
      </w:r>
      <w:r w:rsidRPr="006153AD">
        <w:rPr>
          <w:sz w:val="22"/>
          <w:szCs w:val="22"/>
        </w:rPr>
        <w:fldChar w:fldCharType="begin" w:fldLock="1"/>
      </w:r>
      <w:r w:rsidR="003F30C2" w:rsidRPr="006153AD">
        <w:rPr>
          <w:sz w:val="22"/>
          <w:szCs w:val="22"/>
        </w:rPr>
        <w:instrText>ADDIN CSL_CITATION {"citationItems":[{"id":"ITEM-1","itemData":{"author":[{"dropping-particle":"","family":"Fr","given":"Bernard","non-dropping-particle":"","parse-names":false,"suffix":""},{"dropping-particle":"","family":"Salvan","given":"Julie","non-dropping-particle":"","parse-names":false,"suffix":""},{"dropping-particle":"","family":"Roch","given":"Marie Caroline","non-dropping-particle":"","parse-names":false,"suffix":""},{"dropping-particle":"","family":"Guerin","given":"Antoine","non-dropping-particle":"","parse-names":false,"suffix":""},{"dropping-particle":"","family":"Poupin","given":"Elodie","non-dropping-particle":"","parse-names":false,"suffix":""},{"dropping-particle":"","family":"Pichon","given":"Maxime","non-dropping-particle":"","parse-names":false,"suffix":""},{"dropping-particle":"","family":"Burucoa","given":"Christophe","non-dropping-particle":"","parse-names":false,"suffix":""}],"id":"ITEM-1","issued":{"date-parts":[["2023"]]},"title":"Diagnostic and Therapeutic Management of Helicobacter pylori Infection in Primary Care : Perspective of Application in France and Narrative Review of the Literature","type":"article-journal"},"uris":["http://www.mendeley.com/documents/?uuid=e47f29c1-e501-44f5-9ab2-521aa3d4081e"]}],"mendeley":{"formattedCitation":"(Fr et al., 2023)","plainTextFormattedCitation":"(Fr et al., 2023)","previouslyFormattedCitation":"(Fr et al., 2023)"},"properties":{"noteIndex":0},"schema":"https://github.com/citation-style-language/schema/raw/master/csl-citation.json"}</w:instrText>
      </w:r>
      <w:r w:rsidRPr="006153AD">
        <w:rPr>
          <w:sz w:val="22"/>
          <w:szCs w:val="22"/>
        </w:rPr>
        <w:fldChar w:fldCharType="separate"/>
      </w:r>
      <w:r w:rsidRPr="006153AD">
        <w:rPr>
          <w:noProof/>
          <w:sz w:val="22"/>
          <w:szCs w:val="22"/>
        </w:rPr>
        <w:t>(Fr et al., 2023)</w:t>
      </w:r>
      <w:r w:rsidRPr="006153AD">
        <w:rPr>
          <w:sz w:val="22"/>
          <w:szCs w:val="22"/>
        </w:rPr>
        <w:fldChar w:fldCharType="end"/>
      </w:r>
      <w:r w:rsidRPr="006153AD">
        <w:rPr>
          <w:sz w:val="22"/>
          <w:szCs w:val="22"/>
        </w:rPr>
        <w:t xml:space="preserve">. </w:t>
      </w:r>
    </w:p>
    <w:p w14:paraId="5AC35F4F" w14:textId="396C3557" w:rsidR="00E543CA" w:rsidRPr="006153AD" w:rsidRDefault="00E543CA" w:rsidP="00F10F5D">
      <w:pPr>
        <w:ind w:firstLine="709"/>
        <w:jc w:val="both"/>
        <w:rPr>
          <w:sz w:val="22"/>
          <w:szCs w:val="22"/>
        </w:rPr>
      </w:pPr>
      <w:r w:rsidRPr="006153AD">
        <w:rPr>
          <w:sz w:val="22"/>
          <w:szCs w:val="22"/>
        </w:rPr>
        <w:t>Mayoritas responden telah menikah (80</w:t>
      </w:r>
      <w:proofErr w:type="gramStart"/>
      <w:r w:rsidRPr="006153AD">
        <w:rPr>
          <w:sz w:val="22"/>
          <w:szCs w:val="22"/>
        </w:rPr>
        <w:t>,0</w:t>
      </w:r>
      <w:proofErr w:type="gramEnd"/>
      <w:r w:rsidRPr="006153AD">
        <w:rPr>
          <w:sz w:val="22"/>
          <w:szCs w:val="22"/>
        </w:rPr>
        <w:t xml:space="preserve">%), yang menunjukkan adanya dukungan keluarga dalam proses pengobatan. Dukungan keluarga berperan penting dalam pemenuhan kebutuhan nutrisi pasien selama terapi </w:t>
      </w:r>
      <w:r w:rsidRPr="006153AD">
        <w:rPr>
          <w:sz w:val="22"/>
          <w:szCs w:val="22"/>
        </w:rPr>
        <w:fldChar w:fldCharType="begin" w:fldLock="1"/>
      </w:r>
      <w:r w:rsidRPr="006153AD">
        <w:rPr>
          <w:sz w:val="22"/>
          <w:szCs w:val="22"/>
        </w:rPr>
        <w:instrText>ADDIN CSL_CITATION {"citationItems":[{"id":"ITEM-1","itemData":{"author":[{"dropping-particle":"","family":"Ali","given":"Zakari","non-dropping-particle":"","parse-names":false,"suffix":""},{"dropping-particle":"","family":"Scheelbeek","given":"Pauline F D","non-dropping-particle":"","parse-names":false,"suffix":""},{"dropping-particle":"","family":"Sanin","given":"Kazi Istiaque","non-dropping-particle":"","parse-names":false,"suffix":""},{"dropping-particle":"","family":"Thomas","given":"Timothy S","non-dropping-particle":"","parse-names":false,"suffix":""},{"dropping-particle":"","family":"Ahmed","given":"Tahmeed","non-dropping-particle":"","parse-names":false,"suffix":""},{"dropping-particle":"","family":"Prentice","given":"Andrew M","non-dropping-particle":"","parse-names":false,"suffix":""},{"dropping-particle":"","family":"Green","given":"Rosemary","non-dropping-particle":"","parse-names":false,"suffix":""}],"id":"ITEM-1","issued":{"date-parts":[["2021"]]},"page":"1-13","title":"Characteristics of Distinct Dietary Patterns in Rural Bangladesh : Nutrient Adequacy and Vulnerability to Shocks","type":"article-journal"},"uris":["http://www.mendeley.com/documents/?uuid=3dbc54d0-bb22-4240-9281-947559704c0e"]}],"mendeley":{"formattedCitation":"(Ali et al., 2021)","plainTextFormattedCitation":"(Ali et al., 2021)","previouslyFormattedCitation":"(Ali et al., 2021)"},"properties":{"noteIndex":0},"schema":"https://github.com/citation-style-language/schema/raw/master/csl-citation.json"}</w:instrText>
      </w:r>
      <w:r w:rsidRPr="006153AD">
        <w:rPr>
          <w:sz w:val="22"/>
          <w:szCs w:val="22"/>
        </w:rPr>
        <w:fldChar w:fldCharType="separate"/>
      </w:r>
      <w:r w:rsidRPr="006153AD">
        <w:rPr>
          <w:noProof/>
          <w:sz w:val="22"/>
          <w:szCs w:val="22"/>
        </w:rPr>
        <w:t>(Ali et al., 2021)</w:t>
      </w:r>
      <w:r w:rsidRPr="006153AD">
        <w:rPr>
          <w:sz w:val="22"/>
          <w:szCs w:val="22"/>
        </w:rPr>
        <w:fldChar w:fldCharType="end"/>
      </w:r>
      <w:r w:rsidRPr="006153AD">
        <w:rPr>
          <w:sz w:val="22"/>
          <w:szCs w:val="22"/>
        </w:rPr>
        <w:t>.</w:t>
      </w:r>
    </w:p>
    <w:p w14:paraId="14F3937D" w14:textId="77777777" w:rsidR="00F10F5D" w:rsidRDefault="00F10F5D" w:rsidP="00F10F5D">
      <w:pPr>
        <w:jc w:val="both"/>
        <w:rPr>
          <w:b/>
          <w:bCs/>
          <w:sz w:val="22"/>
          <w:szCs w:val="22"/>
          <w:lang w:val="id-ID"/>
        </w:rPr>
      </w:pPr>
    </w:p>
    <w:p w14:paraId="142C52DC" w14:textId="77777777" w:rsidR="00E543CA" w:rsidRPr="00F10F5D" w:rsidRDefault="00E543CA" w:rsidP="00F10F5D">
      <w:pPr>
        <w:jc w:val="both"/>
        <w:rPr>
          <w:b/>
          <w:bCs/>
          <w:sz w:val="22"/>
          <w:szCs w:val="22"/>
        </w:rPr>
      </w:pPr>
      <w:r w:rsidRPr="00F10F5D">
        <w:rPr>
          <w:b/>
          <w:bCs/>
          <w:sz w:val="22"/>
          <w:szCs w:val="22"/>
        </w:rPr>
        <w:lastRenderedPageBreak/>
        <w:t xml:space="preserve">Gambaran Status Nutrisi Berdasarkan </w:t>
      </w:r>
      <w:r w:rsidRPr="00F10F5D">
        <w:rPr>
          <w:b/>
          <w:bCs/>
          <w:i/>
          <w:iCs/>
          <w:sz w:val="22"/>
          <w:szCs w:val="22"/>
        </w:rPr>
        <w:t>Subjective Global Assessment</w:t>
      </w:r>
      <w:r w:rsidRPr="00F10F5D">
        <w:rPr>
          <w:b/>
          <w:bCs/>
          <w:sz w:val="22"/>
          <w:szCs w:val="22"/>
        </w:rPr>
        <w:t xml:space="preserve"> (SGA)</w:t>
      </w:r>
    </w:p>
    <w:p w14:paraId="5F6DCD58" w14:textId="77777777" w:rsidR="00F10F5D" w:rsidRDefault="00E543CA" w:rsidP="00F10F5D">
      <w:pPr>
        <w:ind w:firstLine="709"/>
        <w:jc w:val="both"/>
        <w:rPr>
          <w:sz w:val="22"/>
          <w:szCs w:val="22"/>
          <w:lang w:val="id-ID"/>
        </w:rPr>
      </w:pPr>
      <w:proofErr w:type="gramStart"/>
      <w:r w:rsidRPr="006153AD">
        <w:rPr>
          <w:sz w:val="22"/>
          <w:szCs w:val="22"/>
        </w:rPr>
        <w:t>Berdasarkan hasil penelitian pada 20 responden, sebagian besar pasien berada pada kategori gizi ringan hingga sedang yang tercermin dari dominasi skor pada masing-masing domain SGA.</w:t>
      </w:r>
      <w:proofErr w:type="gramEnd"/>
      <w:r w:rsidRPr="006153AD">
        <w:rPr>
          <w:sz w:val="22"/>
          <w:szCs w:val="22"/>
        </w:rPr>
        <w:t xml:space="preserve"> </w:t>
      </w:r>
      <w:proofErr w:type="gramStart"/>
      <w:r w:rsidRPr="006153AD">
        <w:rPr>
          <w:sz w:val="22"/>
          <w:szCs w:val="22"/>
        </w:rPr>
        <w:t>Kondisi ini menunjukkan bahwa pasien limfoma di RSUD Sayang Cianjur cenderung berada pada fase awal hingga sedang malnutrisi.</w:t>
      </w:r>
      <w:proofErr w:type="gramEnd"/>
      <w:r w:rsidRPr="006153AD">
        <w:rPr>
          <w:sz w:val="22"/>
          <w:szCs w:val="22"/>
        </w:rPr>
        <w:t xml:space="preserve"> </w:t>
      </w:r>
      <w:proofErr w:type="gramStart"/>
      <w:r w:rsidRPr="006153AD">
        <w:rPr>
          <w:sz w:val="22"/>
          <w:szCs w:val="22"/>
        </w:rPr>
        <w:t>Hal ini dapat dilihat dari kombinasi beberapa indikator, seperti penurunan berat badan (85% mengalami masalah), penurunan asupan makanan (75%), serta adanya gangguan gastrointestinal (85%).</w:t>
      </w:r>
      <w:proofErr w:type="gramEnd"/>
      <w:r w:rsidRPr="006153AD">
        <w:rPr>
          <w:sz w:val="22"/>
          <w:szCs w:val="22"/>
        </w:rPr>
        <w:t xml:space="preserve"> </w:t>
      </w:r>
    </w:p>
    <w:p w14:paraId="037390C0" w14:textId="126B85E2" w:rsidR="00E543CA" w:rsidRDefault="00E543CA" w:rsidP="00F10F5D">
      <w:pPr>
        <w:ind w:firstLine="709"/>
        <w:jc w:val="both"/>
        <w:rPr>
          <w:sz w:val="22"/>
          <w:szCs w:val="22"/>
          <w:lang w:val="id-ID"/>
        </w:rPr>
      </w:pPr>
      <w:proofErr w:type="gramStart"/>
      <w:r w:rsidRPr="006153AD">
        <w:rPr>
          <w:sz w:val="22"/>
          <w:szCs w:val="22"/>
        </w:rPr>
        <w:t>Data ini mengindikasikan bahwa meskipun sebagian pasien belum masuk kategori gizi buruk secara keseluruhan, namun telah terjadi penurunan status nutrisi yang signifikan.</w:t>
      </w:r>
      <w:proofErr w:type="gramEnd"/>
      <w:r w:rsidRPr="006153AD">
        <w:rPr>
          <w:sz w:val="22"/>
          <w:szCs w:val="22"/>
        </w:rPr>
        <w:t xml:space="preserve"> Pasien kanker dengan kondisi malnutrisi ringan–sedang (SGA B) memiliki risiko tinggi mengalami penurunan kondisi klinis apabila tidak dilakukan intervensi nutrisi sejak dini </w:t>
      </w:r>
      <w:r w:rsidRPr="006153AD">
        <w:rPr>
          <w:sz w:val="22"/>
          <w:szCs w:val="22"/>
        </w:rPr>
        <w:fldChar w:fldCharType="begin" w:fldLock="1"/>
      </w:r>
      <w:r w:rsidRPr="006153AD">
        <w:rPr>
          <w:sz w:val="22"/>
          <w:szCs w:val="22"/>
        </w:rPr>
        <w:instrText>ADDIN CSL_CITATION {"citationItems":[{"id":"ITEM-1","itemData":{"DOI":"10.1016/j.clnu.2021.02.005","ISSN":"0261-5614","author":[{"dropping-particle":"","family":"Muscaritoli","given":"Maurizio","non-dropping-particle":"","parse-names":false,"suffix":""},{"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Oldervoll","given":"Line","non-dropping-particle":"","parse-names":false,"suffix":""},{"dropping-particle":"","family":"Ravasco","given":"Paula","non-dropping-particle":"","parse-names":false,"suffix":""},{"dropping-particle":"","family":"Solheim","given":"Tora S","non-dropping-particle":"","parse-names":false,"suffix":""},{"dropping-particle":"","family":"Strasser","given":"Florian","non-dropping-particle":"","parse-names":false,"suffix":""},{"dropping-particle":"Van Der","family":"Schueren","given":"Marian De","non-dropping-particle":"","parse-names":false,"suffix":""},{"dropping-particle":"","family":"Preiser","given":"Jean-charles","non-dropping-particle":"","parse-names":false,"suffix":""},{"dropping-particle":"","family":"Bischoff","given":"Stephan C","non-dropping-particle":"","parse-names":false,"suffix":""}],"container-title":"Clinical Nutrition","id":"ITEM-1","issue":"5","issued":{"date-parts":[["2021"]]},"page":"2898-2913","publisher":"Elsevier Ltd","title":"ESPEN Guideline ESPEN practical guideline : Clinical Nutrition in cancer","type":"article-journal","volume":"40"},"uris":["http://www.mendeley.com/documents/?uuid=c31c99c6-6efc-4bf6-897c-c35934af66f3"]}],"mendeley":{"formattedCitation":"(Muscaritoli et al., 2021)","plainTextFormattedCitation":"(Muscaritoli et al., 2021)","previouslyFormattedCitation":"(Muscaritoli et al., 2021)"},"properties":{"noteIndex":0},"schema":"https://github.com/citation-style-language/schema/raw/master/csl-citation.json"}</w:instrText>
      </w:r>
      <w:r w:rsidRPr="006153AD">
        <w:rPr>
          <w:sz w:val="22"/>
          <w:szCs w:val="22"/>
        </w:rPr>
        <w:fldChar w:fldCharType="separate"/>
      </w:r>
      <w:r w:rsidRPr="006153AD">
        <w:rPr>
          <w:noProof/>
          <w:sz w:val="22"/>
          <w:szCs w:val="22"/>
        </w:rPr>
        <w:t>(Muscaritoli et al., 2021)</w:t>
      </w:r>
      <w:r w:rsidRPr="006153AD">
        <w:rPr>
          <w:sz w:val="22"/>
          <w:szCs w:val="22"/>
        </w:rPr>
        <w:fldChar w:fldCharType="end"/>
      </w:r>
      <w:r w:rsidRPr="006153AD">
        <w:rPr>
          <w:sz w:val="22"/>
          <w:szCs w:val="22"/>
        </w:rPr>
        <w:t xml:space="preserve">. </w:t>
      </w:r>
      <w:proofErr w:type="gramStart"/>
      <w:r w:rsidRPr="006153AD">
        <w:rPr>
          <w:sz w:val="22"/>
          <w:szCs w:val="22"/>
        </w:rPr>
        <w:t>Oleh karena itu, hasil ini menunjukkan pentingnya deteksi dini menggunakan SGA sebagai alat skrining nutrisi.</w:t>
      </w:r>
      <w:proofErr w:type="gramEnd"/>
    </w:p>
    <w:p w14:paraId="41FBEB92" w14:textId="77777777" w:rsidR="00F10F5D" w:rsidRPr="00F10F5D" w:rsidRDefault="00F10F5D" w:rsidP="00F10F5D">
      <w:pPr>
        <w:ind w:firstLine="709"/>
        <w:jc w:val="both"/>
        <w:rPr>
          <w:sz w:val="22"/>
          <w:szCs w:val="22"/>
          <w:lang w:val="id-ID"/>
        </w:rPr>
      </w:pPr>
    </w:p>
    <w:p w14:paraId="0384CC87" w14:textId="77777777" w:rsidR="00E543CA" w:rsidRPr="00F10F5D" w:rsidRDefault="00E543CA" w:rsidP="00F10F5D">
      <w:pPr>
        <w:rPr>
          <w:b/>
          <w:bCs/>
          <w:sz w:val="22"/>
          <w:szCs w:val="22"/>
        </w:rPr>
      </w:pPr>
      <w:r w:rsidRPr="00F10F5D">
        <w:rPr>
          <w:b/>
          <w:bCs/>
          <w:sz w:val="22"/>
          <w:szCs w:val="22"/>
        </w:rPr>
        <w:t>Gambaran Status Nutrisi Berdasarkan Berat Badan</w:t>
      </w:r>
    </w:p>
    <w:p w14:paraId="18A7020E" w14:textId="77777777" w:rsidR="00E543CA" w:rsidRPr="006153AD" w:rsidRDefault="00E543CA" w:rsidP="006153AD">
      <w:pPr>
        <w:ind w:firstLine="360"/>
        <w:jc w:val="both"/>
        <w:rPr>
          <w:sz w:val="22"/>
          <w:szCs w:val="22"/>
        </w:rPr>
      </w:pPr>
      <w:r w:rsidRPr="006153AD">
        <w:rPr>
          <w:sz w:val="22"/>
          <w:szCs w:val="22"/>
        </w:rPr>
        <w:t xml:space="preserve">Berdasarkan data penelitian, sebanyak 10 responden (50,0%) mengalami penurunan berat badan kategori gizi ringan/sedang dan 7 responden  (35,0%) termasuk kategori gizi buruk, sedangkan hanya 3 responden (15,0%) yang berada pada kondisi normal. </w:t>
      </w:r>
      <w:proofErr w:type="gramStart"/>
      <w:r w:rsidRPr="006153AD">
        <w:rPr>
          <w:sz w:val="22"/>
          <w:szCs w:val="22"/>
        </w:rPr>
        <w:t xml:space="preserve">Hal ini menunjukkan bahwa </w:t>
      </w:r>
      <w:r w:rsidRPr="006153AD">
        <w:rPr>
          <w:rStyle w:val="Strong"/>
          <w:b w:val="0"/>
          <w:bCs w:val="0"/>
          <w:sz w:val="22"/>
          <w:szCs w:val="22"/>
        </w:rPr>
        <w:t>85% pasien mengalami penurunan berat badan</w:t>
      </w:r>
      <w:r w:rsidRPr="006153AD">
        <w:rPr>
          <w:b/>
          <w:bCs/>
          <w:sz w:val="22"/>
          <w:szCs w:val="22"/>
        </w:rPr>
        <w:t>,</w:t>
      </w:r>
      <w:r w:rsidRPr="006153AD">
        <w:rPr>
          <w:sz w:val="22"/>
          <w:szCs w:val="22"/>
        </w:rPr>
        <w:t xml:space="preserve"> yang merupakan indikator kuat terjadinya malnutrisi.</w:t>
      </w:r>
      <w:proofErr w:type="gramEnd"/>
      <w:r w:rsidRPr="006153AD">
        <w:rPr>
          <w:sz w:val="22"/>
          <w:szCs w:val="22"/>
        </w:rPr>
        <w:t xml:space="preserve"> </w:t>
      </w:r>
      <w:proofErr w:type="gramStart"/>
      <w:r w:rsidRPr="006153AD">
        <w:rPr>
          <w:sz w:val="22"/>
          <w:szCs w:val="22"/>
        </w:rPr>
        <w:t>Penurunan berat badan ini kemungkinan disebabkan oleh ketidakseimbangan antara asupan energi dan kebutuhan metabolik yang meningkat akibat penyakit limfoma.</w:t>
      </w:r>
      <w:proofErr w:type="gramEnd"/>
      <w:r w:rsidRPr="006153AD">
        <w:rPr>
          <w:sz w:val="22"/>
          <w:szCs w:val="22"/>
        </w:rPr>
        <w:t xml:space="preserve"> Secara fisiologis, kondisi ini berkaitan dengan cachexia kanker, yaitu sindrom yang ditandai dengan kehilangan </w:t>
      </w:r>
      <w:proofErr w:type="gramStart"/>
      <w:r w:rsidRPr="006153AD">
        <w:rPr>
          <w:sz w:val="22"/>
          <w:szCs w:val="22"/>
        </w:rPr>
        <w:t>massa</w:t>
      </w:r>
      <w:proofErr w:type="gramEnd"/>
      <w:r w:rsidRPr="006153AD">
        <w:rPr>
          <w:sz w:val="22"/>
          <w:szCs w:val="22"/>
        </w:rPr>
        <w:t xml:space="preserve"> otot dan lemak tubuh secara progresif akibat respons inflamasi sistemik. Cachexia tidak dapat sepenuhnya diperbaiki hanya dengan peningkatan asupan makanan karena melibatkan gangguan metabolisme tubuh  </w:t>
      </w:r>
      <w:r w:rsidRPr="006153AD">
        <w:rPr>
          <w:sz w:val="22"/>
          <w:szCs w:val="22"/>
        </w:rPr>
        <w:fldChar w:fldCharType="begin" w:fldLock="1"/>
      </w:r>
      <w:r w:rsidRPr="006153AD">
        <w:rPr>
          <w:sz w:val="22"/>
          <w:szCs w:val="22"/>
        </w:rPr>
        <w:instrText>ADDIN CSL_CITATION {"citationItems":[{"id":"ITEM-1","itemData":{"DOI":"10.1016/j.clnu.2021.02.005","ISSN":"0261-5614","author":[{"dropping-particle":"","family":"Muscaritoli","given":"Maurizio","non-dropping-particle":"","parse-names":false,"suffix":""},{"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Oldervoll","given":"Line","non-dropping-particle":"","parse-names":false,"suffix":""},{"dropping-particle":"","family":"Ravasco","given":"Paula","non-dropping-particle":"","parse-names":false,"suffix":""},{"dropping-particle":"","family":"Solheim","given":"Tora S","non-dropping-particle":"","parse-names":false,"suffix":""},{"dropping-particle":"","family":"Strasser","given":"Florian","non-dropping-particle":"","parse-names":false,"suffix":""},{"dropping-particle":"Van Der","family":"Schueren","given":"Marian De","non-dropping-particle":"","parse-names":false,"suffix":""},{"dropping-particle":"","family":"Preiser","given":"Jean-charles","non-dropping-particle":"","parse-names":false,"suffix":""},{"dropping-particle":"","family":"Bischoff","given":"Stephan C","non-dropping-particle":"","parse-names":false,"suffix":""}],"container-title":"Clinical Nutrition","id":"ITEM-1","issue":"5","issued":{"date-parts":[["2021"]]},"page":"2898-2913","publisher":"Elsevier Ltd","title":"ESPEN Guideline ESPEN practical guideline : Clinical Nutrition in cancer","type":"article-journal","volume":"40"},"uris":["http://www.mendeley.com/documents/?uuid=c31c99c6-6efc-4bf6-897c-c35934af66f3"]}],"mendeley":{"formattedCitation":"(Muscaritoli et al., 2021)","plainTextFormattedCitation":"(Muscaritoli et al., 2021)","previouslyFormattedCitation":"(Muscaritoli et al., 2021)"},"properties":{"noteIndex":0},"schema":"https://github.com/citation-style-language/schema/raw/master/csl-citation.json"}</w:instrText>
      </w:r>
      <w:r w:rsidRPr="006153AD">
        <w:rPr>
          <w:sz w:val="22"/>
          <w:szCs w:val="22"/>
        </w:rPr>
        <w:fldChar w:fldCharType="separate"/>
      </w:r>
      <w:r w:rsidRPr="006153AD">
        <w:rPr>
          <w:noProof/>
          <w:sz w:val="22"/>
          <w:szCs w:val="22"/>
        </w:rPr>
        <w:t>(Muscaritoli et al., 2021)</w:t>
      </w:r>
      <w:r w:rsidRPr="006153AD">
        <w:rPr>
          <w:sz w:val="22"/>
          <w:szCs w:val="22"/>
        </w:rPr>
        <w:fldChar w:fldCharType="end"/>
      </w:r>
      <w:r w:rsidRPr="006153AD">
        <w:rPr>
          <w:sz w:val="22"/>
          <w:szCs w:val="22"/>
        </w:rPr>
        <w:t>.</w:t>
      </w:r>
    </w:p>
    <w:p w14:paraId="68119584" w14:textId="77777777" w:rsidR="00F10F5D" w:rsidRDefault="00F10F5D" w:rsidP="00F10F5D">
      <w:pPr>
        <w:rPr>
          <w:b/>
          <w:bCs/>
          <w:sz w:val="22"/>
          <w:szCs w:val="22"/>
          <w:lang w:val="id-ID"/>
        </w:rPr>
      </w:pPr>
    </w:p>
    <w:p w14:paraId="5A06909A" w14:textId="77777777" w:rsidR="00E543CA" w:rsidRPr="00F10F5D" w:rsidRDefault="00E543CA" w:rsidP="00F10F5D">
      <w:pPr>
        <w:rPr>
          <w:b/>
          <w:bCs/>
          <w:sz w:val="22"/>
          <w:szCs w:val="22"/>
        </w:rPr>
      </w:pPr>
      <w:r w:rsidRPr="00F10F5D">
        <w:rPr>
          <w:b/>
          <w:bCs/>
          <w:sz w:val="22"/>
          <w:szCs w:val="22"/>
        </w:rPr>
        <w:t>Gambaran Status Nutrisi Berdasarkan Asupan Makanan</w:t>
      </w:r>
    </w:p>
    <w:p w14:paraId="48E642A8" w14:textId="77777777" w:rsidR="00E543CA" w:rsidRPr="006153AD" w:rsidRDefault="00E543CA" w:rsidP="006153AD">
      <w:pPr>
        <w:ind w:firstLine="360"/>
        <w:jc w:val="both"/>
        <w:rPr>
          <w:b/>
          <w:bCs/>
          <w:sz w:val="22"/>
          <w:szCs w:val="22"/>
        </w:rPr>
      </w:pPr>
      <w:r w:rsidRPr="006153AD">
        <w:rPr>
          <w:sz w:val="22"/>
          <w:szCs w:val="22"/>
        </w:rPr>
        <w:lastRenderedPageBreak/>
        <w:t xml:space="preserve">Hasil penelitian menunjukkan bahwa sebanyak 12 responden (60,0%) berada pada kategori gizi ringan/sedang, 3 responden (15,0%) gizi buruk, dan hanya 5 responden (25,0%) yang memiliki asupan makanan normal. </w:t>
      </w:r>
      <w:proofErr w:type="gramStart"/>
      <w:r w:rsidRPr="006153AD">
        <w:rPr>
          <w:sz w:val="22"/>
          <w:szCs w:val="22"/>
        </w:rPr>
        <w:t xml:space="preserve">Artinya, </w:t>
      </w:r>
      <w:r w:rsidRPr="006153AD">
        <w:rPr>
          <w:rStyle w:val="Strong"/>
          <w:b w:val="0"/>
          <w:bCs w:val="0"/>
          <w:sz w:val="22"/>
          <w:szCs w:val="22"/>
        </w:rPr>
        <w:t>75% pasien mengalami penurunan asupan makanan</w:t>
      </w:r>
      <w:r w:rsidRPr="006153AD">
        <w:rPr>
          <w:b/>
          <w:bCs/>
          <w:sz w:val="22"/>
          <w:szCs w:val="22"/>
        </w:rPr>
        <w:t>,</w:t>
      </w:r>
      <w:r w:rsidRPr="006153AD">
        <w:rPr>
          <w:sz w:val="22"/>
          <w:szCs w:val="22"/>
        </w:rPr>
        <w:t xml:space="preserve"> yang menjadi salah satu penyebab utama terjadinya malnutrisi.</w:t>
      </w:r>
      <w:proofErr w:type="gramEnd"/>
      <w:r w:rsidRPr="006153AD">
        <w:rPr>
          <w:sz w:val="22"/>
          <w:szCs w:val="22"/>
        </w:rPr>
        <w:t xml:space="preserve"> </w:t>
      </w:r>
      <w:proofErr w:type="gramStart"/>
      <w:r w:rsidRPr="006153AD">
        <w:rPr>
          <w:sz w:val="22"/>
          <w:szCs w:val="22"/>
        </w:rPr>
        <w:t>Penurunan asupan ini dapat disebabkan oleh efek samping terapi seperti mual, muntah, serta anoreksia.</w:t>
      </w:r>
      <w:proofErr w:type="gramEnd"/>
      <w:r w:rsidRPr="006153AD">
        <w:rPr>
          <w:sz w:val="22"/>
          <w:szCs w:val="22"/>
        </w:rPr>
        <w:t xml:space="preserve"> Penurunan asupan makanan yang berlangsung dalam waktu singkat saja sudah dapat menyebabkan defisit energi yang berdampak pada penurunan berat badan dan massa otot, oleh karena itu kondisi ini perlu segera ditangani melalui intervensi nutrisi yang adekuat </w:t>
      </w:r>
      <w:r w:rsidRPr="006153AD">
        <w:rPr>
          <w:sz w:val="22"/>
          <w:szCs w:val="22"/>
        </w:rPr>
        <w:fldChar w:fldCharType="begin" w:fldLock="1"/>
      </w:r>
      <w:r w:rsidRPr="006153AD">
        <w:rPr>
          <w:sz w:val="22"/>
          <w:szCs w:val="22"/>
        </w:rPr>
        <w:instrText>ADDIN CSL_CITATION {"citationItems":[{"id":"ITEM-1","itemData":{"DOI":"10.1007/s12254-020-00672-3","author":[{"dropping-particle":"","family":"Beirer","given":"Angelika","non-dropping-particle":"","parse-names":false,"suffix":""}],"id":"ITEM-1","issued":{"date-parts":[["2021"]]},"page":"168-173","title":"Malnutrition and cancer , diagnosis and treatment","type":"article-journal"},"uris":["http://www.mendeley.com/documents/?uuid=c7460259-9f97-4845-8c9f-2f3259181c48"]}],"mendeley":{"formattedCitation":"(Beirer, 2021)","plainTextFormattedCitation":"(Beirer, 2021)","previouslyFormattedCitation":"(Beirer, 2021)"},"properties":{"noteIndex":0},"schema":"https://github.com/citation-style-language/schema/raw/master/csl-citation.json"}</w:instrText>
      </w:r>
      <w:r w:rsidRPr="006153AD">
        <w:rPr>
          <w:sz w:val="22"/>
          <w:szCs w:val="22"/>
        </w:rPr>
        <w:fldChar w:fldCharType="separate"/>
      </w:r>
      <w:r w:rsidRPr="006153AD">
        <w:rPr>
          <w:noProof/>
          <w:sz w:val="22"/>
          <w:szCs w:val="22"/>
        </w:rPr>
        <w:t>(Beirer, 2021)</w:t>
      </w:r>
      <w:r w:rsidRPr="006153AD">
        <w:rPr>
          <w:sz w:val="22"/>
          <w:szCs w:val="22"/>
        </w:rPr>
        <w:fldChar w:fldCharType="end"/>
      </w:r>
      <w:r w:rsidRPr="006153AD">
        <w:rPr>
          <w:sz w:val="22"/>
          <w:szCs w:val="22"/>
        </w:rPr>
        <w:t>.</w:t>
      </w:r>
    </w:p>
    <w:p w14:paraId="10CA128F" w14:textId="77777777" w:rsidR="00F10F5D" w:rsidRDefault="00F10F5D" w:rsidP="00F10F5D">
      <w:pPr>
        <w:rPr>
          <w:b/>
          <w:bCs/>
          <w:sz w:val="22"/>
          <w:szCs w:val="22"/>
          <w:lang w:val="id-ID"/>
        </w:rPr>
      </w:pPr>
    </w:p>
    <w:p w14:paraId="4497F149" w14:textId="77777777" w:rsidR="00E543CA" w:rsidRPr="00F10F5D" w:rsidRDefault="00E543CA" w:rsidP="00F10F5D">
      <w:pPr>
        <w:rPr>
          <w:b/>
          <w:bCs/>
          <w:sz w:val="22"/>
          <w:szCs w:val="22"/>
        </w:rPr>
      </w:pPr>
      <w:r w:rsidRPr="00F10F5D">
        <w:rPr>
          <w:b/>
          <w:bCs/>
          <w:sz w:val="22"/>
          <w:szCs w:val="22"/>
        </w:rPr>
        <w:t>Gambaran Status Nutrisi Berdasarkan Gejala Gastrointestinal</w:t>
      </w:r>
    </w:p>
    <w:p w14:paraId="14105796" w14:textId="77777777" w:rsidR="00E543CA" w:rsidRPr="006153AD" w:rsidRDefault="00E543CA" w:rsidP="006153AD">
      <w:pPr>
        <w:ind w:firstLine="360"/>
        <w:jc w:val="both"/>
        <w:rPr>
          <w:sz w:val="22"/>
          <w:szCs w:val="22"/>
        </w:rPr>
      </w:pPr>
      <w:r w:rsidRPr="006153AD">
        <w:rPr>
          <w:sz w:val="22"/>
          <w:szCs w:val="22"/>
        </w:rPr>
        <w:t xml:space="preserve">Berdasarkan hasil penelitian, sebanyak 10 responden (50,0%) mengalami gangguan gastrointestinal kategori ringan/sedang dan 7 responden (35,0%) kategori berat, sedangkan hanya 3 responden (15,0%) yang tidak mengalami gangguan. Dengan demikian, </w:t>
      </w:r>
      <w:r w:rsidRPr="006153AD">
        <w:rPr>
          <w:rStyle w:val="Strong"/>
          <w:b w:val="0"/>
          <w:bCs w:val="0"/>
          <w:sz w:val="22"/>
          <w:szCs w:val="22"/>
        </w:rPr>
        <w:t>85% pasien mengalami gangguan gastrointestinal</w:t>
      </w:r>
      <w:r w:rsidRPr="006153AD">
        <w:rPr>
          <w:b/>
          <w:bCs/>
          <w:sz w:val="22"/>
          <w:szCs w:val="22"/>
        </w:rPr>
        <w:t>,</w:t>
      </w:r>
      <w:r w:rsidRPr="006153AD">
        <w:rPr>
          <w:sz w:val="22"/>
          <w:szCs w:val="22"/>
        </w:rPr>
        <w:t xml:space="preserve"> yang berpotensi mengganggu proses pencernaan dan penyerapan nutrisi. </w:t>
      </w:r>
      <w:proofErr w:type="gramStart"/>
      <w:r w:rsidRPr="006153AD">
        <w:rPr>
          <w:sz w:val="22"/>
          <w:szCs w:val="22"/>
        </w:rPr>
        <w:t>Gangguan ini umumnya disebabkan oleh efek samping kemoterapi yang dapat merusak mukosa saluran cerna.</w:t>
      </w:r>
      <w:proofErr w:type="gramEnd"/>
      <w:r w:rsidRPr="006153AD">
        <w:rPr>
          <w:sz w:val="22"/>
          <w:szCs w:val="22"/>
        </w:rPr>
        <w:t xml:space="preserve"> Kondisi ini menyebabkan malabsorpsi nutrisi sehingga memperburuk status gizi pasien, bahkan ketika asupan makanan cukup </w:t>
      </w:r>
      <w:r w:rsidRPr="006153AD">
        <w:rPr>
          <w:sz w:val="22"/>
          <w:szCs w:val="22"/>
        </w:rPr>
        <w:fldChar w:fldCharType="begin" w:fldLock="1"/>
      </w:r>
      <w:r w:rsidRPr="006153AD">
        <w:rPr>
          <w:sz w:val="22"/>
          <w:szCs w:val="22"/>
        </w:rPr>
        <w:instrText>ADDIN CSL_CITATION {"citationItems":[{"id":"ITEM-1","itemData":{"author":[{"dropping-particle":"","family":"Cencioni","given":"Chiara","non-dropping-particle":"","parse-names":false,"suffix":""},{"dropping-particle":"","family":"Trestini","given":"Ilaria","non-dropping-particle":"","parse-names":false,"suffix":""},{"dropping-particle":"","family":"Piro","given":"Geny","non-dropping-particle":"","parse-names":false,"suffix":""},{"dropping-particle":"","family":"Bria","given":"Emilio","non-dropping-particle":"","parse-names":false,"suffix":""},{"dropping-particle":"","family":"Tortora","given":"Giampaolo","non-dropping-particle":"","parse-names":false,"suffix":""},{"dropping-particle":"","family":"Carbone","given":"Carmine","non-dropping-particle":"","parse-names":false,"suffix":""},{"dropping-particle":"","family":"Spallotta","given":"Francesco","non-dropping-particle":"","parse-names":false,"suffix":""}],"id":"ITEM-1","issued":{"date-parts":[["2022"]]},"page":"1-15","title":"Gastrointestinal Cancer Patient Nutritional Management : From Specific Needs to Novel Epigenetic Dietary Approaches","type":"article-journal"},"uris":["http://www.mendeley.com/documents/?uuid=d9e39712-84a6-416d-ad2e-90a7f9a7f72c"]}],"mendeley":{"formattedCitation":"(Cencioni et al., 2022)","plainTextFormattedCitation":"(Cencioni et al., 2022)","previouslyFormattedCitation":"(Cencioni et al., 2022)"},"properties":{"noteIndex":0},"schema":"https://github.com/citation-style-language/schema/raw/master/csl-citation.json"}</w:instrText>
      </w:r>
      <w:r w:rsidRPr="006153AD">
        <w:rPr>
          <w:sz w:val="22"/>
          <w:szCs w:val="22"/>
        </w:rPr>
        <w:fldChar w:fldCharType="separate"/>
      </w:r>
      <w:r w:rsidRPr="006153AD">
        <w:rPr>
          <w:noProof/>
          <w:sz w:val="22"/>
          <w:szCs w:val="22"/>
        </w:rPr>
        <w:t>(Cencioni et al., 2022)</w:t>
      </w:r>
      <w:r w:rsidRPr="006153AD">
        <w:rPr>
          <w:sz w:val="22"/>
          <w:szCs w:val="22"/>
        </w:rPr>
        <w:fldChar w:fldCharType="end"/>
      </w:r>
      <w:r w:rsidRPr="006153AD">
        <w:rPr>
          <w:sz w:val="22"/>
          <w:szCs w:val="22"/>
        </w:rPr>
        <w:t>.</w:t>
      </w:r>
    </w:p>
    <w:p w14:paraId="545C6F29" w14:textId="77777777" w:rsidR="00F10F5D" w:rsidRDefault="00F10F5D" w:rsidP="00F10F5D">
      <w:pPr>
        <w:rPr>
          <w:b/>
          <w:bCs/>
          <w:sz w:val="22"/>
          <w:szCs w:val="22"/>
          <w:lang w:val="id-ID"/>
        </w:rPr>
      </w:pPr>
    </w:p>
    <w:p w14:paraId="51FCD5B4" w14:textId="77777777" w:rsidR="00E543CA" w:rsidRPr="00F10F5D" w:rsidRDefault="00E543CA" w:rsidP="00F10F5D">
      <w:pPr>
        <w:rPr>
          <w:b/>
          <w:bCs/>
          <w:sz w:val="22"/>
          <w:szCs w:val="22"/>
        </w:rPr>
      </w:pPr>
      <w:r w:rsidRPr="00F10F5D">
        <w:rPr>
          <w:b/>
          <w:bCs/>
          <w:sz w:val="22"/>
          <w:szCs w:val="22"/>
        </w:rPr>
        <w:t>Gambaran Status Nutrisi Berdasarkan Kapasitas Fungsional</w:t>
      </w:r>
    </w:p>
    <w:p w14:paraId="6B9F4DC7" w14:textId="77777777" w:rsidR="00E543CA" w:rsidRPr="006153AD" w:rsidRDefault="00E543CA" w:rsidP="006153AD">
      <w:pPr>
        <w:ind w:firstLine="360"/>
        <w:jc w:val="both"/>
        <w:rPr>
          <w:b/>
          <w:bCs/>
          <w:sz w:val="22"/>
          <w:szCs w:val="22"/>
        </w:rPr>
      </w:pPr>
      <w:r w:rsidRPr="006153AD">
        <w:rPr>
          <w:sz w:val="22"/>
          <w:szCs w:val="22"/>
        </w:rPr>
        <w:t xml:space="preserve">Hasil penelitian menunjukkan bahwa 10 responden (50,0%) mengalami penurunan kapasitas fungsional kategori ringan/sedang dan 3 responden (15,0%) kategori berat, sedangkan 7 responden (35,0%) masih dalam kondisi normal. </w:t>
      </w:r>
      <w:proofErr w:type="gramStart"/>
      <w:r w:rsidRPr="006153AD">
        <w:rPr>
          <w:sz w:val="22"/>
          <w:szCs w:val="22"/>
        </w:rPr>
        <w:t xml:space="preserve">Hal ini berarti </w:t>
      </w:r>
      <w:r w:rsidRPr="006153AD">
        <w:rPr>
          <w:rStyle w:val="Strong"/>
          <w:b w:val="0"/>
          <w:bCs w:val="0"/>
          <w:sz w:val="22"/>
          <w:szCs w:val="22"/>
        </w:rPr>
        <w:t>65% pasien mengalami penurunan kapasitas fungsional</w:t>
      </w:r>
      <w:r w:rsidRPr="006153AD">
        <w:rPr>
          <w:b/>
          <w:bCs/>
          <w:sz w:val="22"/>
          <w:szCs w:val="22"/>
        </w:rPr>
        <w:t xml:space="preserve">, </w:t>
      </w:r>
      <w:r w:rsidRPr="006153AD">
        <w:rPr>
          <w:sz w:val="22"/>
          <w:szCs w:val="22"/>
        </w:rPr>
        <w:t>yang menunjukkan adanya dampak dari penyakit dan status nutrisi terhadap aktivitas sehari-hari pasien.</w:t>
      </w:r>
      <w:proofErr w:type="gramEnd"/>
      <w:r w:rsidRPr="006153AD">
        <w:rPr>
          <w:sz w:val="22"/>
          <w:szCs w:val="22"/>
        </w:rPr>
        <w:t xml:space="preserve"> Penurunan kapasitas fungsional ini berkaitan dengan kehilangan </w:t>
      </w:r>
      <w:proofErr w:type="gramStart"/>
      <w:r w:rsidRPr="006153AD">
        <w:rPr>
          <w:sz w:val="22"/>
          <w:szCs w:val="22"/>
        </w:rPr>
        <w:t>massa</w:t>
      </w:r>
      <w:proofErr w:type="gramEnd"/>
      <w:r w:rsidRPr="006153AD">
        <w:rPr>
          <w:sz w:val="22"/>
          <w:szCs w:val="22"/>
        </w:rPr>
        <w:t xml:space="preserve"> otot dan kelelahan akibat kanker. Malnutrisi pada pasien kanker berkontribusi terhadap penurunan kekuatan fisik dan meningkatkan ketergantungan pasien dalam aktivitas sehari-hari </w:t>
      </w:r>
      <w:r w:rsidRPr="006153AD">
        <w:rPr>
          <w:sz w:val="22"/>
          <w:szCs w:val="22"/>
        </w:rPr>
        <w:fldChar w:fldCharType="begin" w:fldLock="1"/>
      </w:r>
      <w:r w:rsidRPr="006153AD">
        <w:rPr>
          <w:sz w:val="22"/>
          <w:szCs w:val="22"/>
        </w:rPr>
        <w:instrText>ADDIN CSL_CITATION {"citationItems":[{"id":"ITEM-1","itemData":{"DOI":"10.1002/jcsm.12525","author":[{"dropping-particle":"","family":"Purcell","given":"Sarah A","non-dropping-particle":"","parse-names":false,"suffix":""},{"dropping-particle":"","family":"Laviano","given":"Alessandro","non-dropping-particle":"","parse-names":false,"suffix":""}],"id":"ITEM-1","issue":"January","issued":{"date-parts":[["2020"]]},"page":"366-380","title":"Nutrition interventions to treat low muscle mass in cancer","type":"article-journal"},"uris":["http://www.mendeley.com/documents/?uuid=a9f80490-cae3-42f4-9484-5b748d1a8f98"]}],"mendeley":{"formattedCitation":"(Purcell &amp; Laviano, 2020)","plainTextFormattedCitation":"(Purcell &amp; Laviano, 2020)","previouslyFormattedCitation":"(Purcell &amp; Laviano, 2020)"},"properties":{"noteIndex":0},"schema":"https://github.com/citation-style-language/schema/raw/master/csl-citation.json"}</w:instrText>
      </w:r>
      <w:r w:rsidRPr="006153AD">
        <w:rPr>
          <w:sz w:val="22"/>
          <w:szCs w:val="22"/>
        </w:rPr>
        <w:fldChar w:fldCharType="separate"/>
      </w:r>
      <w:r w:rsidRPr="006153AD">
        <w:rPr>
          <w:noProof/>
          <w:sz w:val="22"/>
          <w:szCs w:val="22"/>
        </w:rPr>
        <w:t>(Purcell &amp; Laviano, 2020)</w:t>
      </w:r>
      <w:r w:rsidRPr="006153AD">
        <w:rPr>
          <w:sz w:val="22"/>
          <w:szCs w:val="22"/>
        </w:rPr>
        <w:fldChar w:fldCharType="end"/>
      </w:r>
      <w:r w:rsidRPr="006153AD">
        <w:rPr>
          <w:sz w:val="22"/>
          <w:szCs w:val="22"/>
        </w:rPr>
        <w:t>.</w:t>
      </w:r>
    </w:p>
    <w:p w14:paraId="75684190" w14:textId="77777777" w:rsidR="00F10F5D" w:rsidRDefault="00F10F5D" w:rsidP="00F10F5D">
      <w:pPr>
        <w:rPr>
          <w:b/>
          <w:bCs/>
          <w:sz w:val="22"/>
          <w:szCs w:val="22"/>
          <w:lang w:val="id-ID"/>
        </w:rPr>
      </w:pPr>
    </w:p>
    <w:p w14:paraId="5977C101" w14:textId="77777777" w:rsidR="00E543CA" w:rsidRPr="00F10F5D" w:rsidRDefault="00E543CA" w:rsidP="00F10F5D">
      <w:pPr>
        <w:rPr>
          <w:b/>
          <w:bCs/>
          <w:sz w:val="22"/>
          <w:szCs w:val="22"/>
        </w:rPr>
      </w:pPr>
      <w:r w:rsidRPr="00F10F5D">
        <w:rPr>
          <w:b/>
          <w:bCs/>
          <w:sz w:val="22"/>
          <w:szCs w:val="22"/>
        </w:rPr>
        <w:lastRenderedPageBreak/>
        <w:t>Gambaran Status Nutrisi Berdasarkan Penyakit dan Kebutuhan Gizi</w:t>
      </w:r>
    </w:p>
    <w:p w14:paraId="62342AFD" w14:textId="4B6BDB63" w:rsidR="00E543CA" w:rsidRPr="006153AD" w:rsidRDefault="00E543CA" w:rsidP="006153AD">
      <w:pPr>
        <w:ind w:firstLine="360"/>
        <w:jc w:val="both"/>
        <w:rPr>
          <w:sz w:val="22"/>
          <w:szCs w:val="22"/>
        </w:rPr>
      </w:pPr>
      <w:r w:rsidRPr="006153AD">
        <w:rPr>
          <w:sz w:val="22"/>
          <w:szCs w:val="22"/>
        </w:rPr>
        <w:t xml:space="preserve">Berdasarkan data, sebanyak 15 responden (75,0%) berada pada kategori gizi baik/normal, 2 responden (10,0%) kategori ringan/sedang, dan 3 responden (15,0%) kategori gizi buruk. </w:t>
      </w:r>
      <w:proofErr w:type="gramStart"/>
      <w:r w:rsidRPr="006153AD">
        <w:rPr>
          <w:sz w:val="22"/>
          <w:szCs w:val="22"/>
        </w:rPr>
        <w:t>Meskipun mayoritas berada dalam kategori normal, kondisi ini tidak serta-merta menunjukkan bahwa kebutuhan nutrisi telah terpenuhi.</w:t>
      </w:r>
      <w:proofErr w:type="gramEnd"/>
      <w:r w:rsidRPr="006153AD">
        <w:rPr>
          <w:sz w:val="22"/>
          <w:szCs w:val="22"/>
        </w:rPr>
        <w:t xml:space="preserve"> Hal ini karena pasien limfoma mengalami peningkatan kebutuhan energi dan protein akibat proses penyakit dan terapi yang dijalani. Pasien kanker memerlukan asupan protein yang lebih tinggi untuk mempertahankan </w:t>
      </w:r>
      <w:proofErr w:type="gramStart"/>
      <w:r w:rsidRPr="006153AD">
        <w:rPr>
          <w:sz w:val="22"/>
          <w:szCs w:val="22"/>
        </w:rPr>
        <w:t>massa</w:t>
      </w:r>
      <w:proofErr w:type="gramEnd"/>
      <w:r w:rsidRPr="006153AD">
        <w:rPr>
          <w:sz w:val="22"/>
          <w:szCs w:val="22"/>
        </w:rPr>
        <w:t xml:space="preserve"> otot dan mendukung proses penyembuhan. Oleh karena itu, meskipun terlihat normal, pasien tetap berisiko mengalami malnutrisi apabila kebutuhan nutrisi tidak terpenuhi secara adekuat </w:t>
      </w:r>
      <w:r w:rsidRPr="006153AD">
        <w:rPr>
          <w:sz w:val="22"/>
          <w:szCs w:val="22"/>
        </w:rPr>
        <w:fldChar w:fldCharType="begin" w:fldLock="1"/>
      </w:r>
      <w:r w:rsidRPr="006153AD">
        <w:rPr>
          <w:sz w:val="22"/>
          <w:szCs w:val="22"/>
        </w:rPr>
        <w:instrText>ADDIN CSL_CITATION {"citationItems":[{"id":"ITEM-1","itemData":{"DOI":"10.7150/jca.73130","author":[{"dropping-particle":"","family":"Caccialanza","given":"Riccardo","non-dropping-particle":"","parse-names":false,"suffix":""},{"dropping-particle":"","family":"Cotogni","given":"Paolo","non-dropping-particle":"","parse-names":false,"suffix":""},{"dropping-particle":"","family":"Cereda","given":"Emanuele","non-dropping-particle":"","parse-names":false,"suffix":""},{"dropping-particle":"","family":"Bossi","given":"Paolo","non-dropping-particle":"","parse-names":false,"suffix":""},{"dropping-particle":"","family":"Aprile","given":"Giuseppe","non-dropping-particle":"","parse-names":false,"suffix":""},{"dropping-particle":"","family":"Delrio","given":"Paolo","non-dropping-particle":"","parse-names":false,"suffix":""},{"dropping-particle":"","family":"Gnagnarella","given":"Patrizia","non-dropping-particle":"","parse-names":false,"suffix":""},{"dropping-particle":"","family":"Mascheroni","given":"Annalisa","non-dropping-particle":"","parse-names":false,"suffix":""},{"dropping-particle":"","family":"Monge","given":"Taira","non-dropping-particle":"","parse-names":false,"suffix":""},{"dropping-particle":"","family":"Corradi","given":"Ettore","non-dropping-particle":"","parse-names":false,"suffix":""},{"dropping-particle":"","family":"Grieco","given":"Michele","non-dropping-particle":"","parse-names":false,"suffix":""}],"id":"ITEM-1","issued":{"date-parts":[["2022"]]},"title":"Nutritional Support in Cancer patients : update of the Italian Intersociety Working Group practical recommendations","type":"article-journal","volume":"13"},"uris":["http://www.mendeley.com/documents/?uuid=a6c1fcfb-ab65-455d-9f29-38e2c934df09"]}],"mendeley":{"formattedCitation":"(Caccialanza et al., 2022)","plainTextFormattedCitation":"(Caccialanza et al., 2022)","previouslyFormattedCitation":"(Caccialanza et al., 2022)"},"properties":{"noteIndex":0},"schema":"https://github.com/citation-style-language/schema/raw/master/csl-citation.json"}</w:instrText>
      </w:r>
      <w:r w:rsidRPr="006153AD">
        <w:rPr>
          <w:sz w:val="22"/>
          <w:szCs w:val="22"/>
        </w:rPr>
        <w:fldChar w:fldCharType="separate"/>
      </w:r>
      <w:r w:rsidRPr="006153AD">
        <w:rPr>
          <w:noProof/>
          <w:sz w:val="22"/>
          <w:szCs w:val="22"/>
        </w:rPr>
        <w:t>(Caccialanza et al., 2022)</w:t>
      </w:r>
      <w:r w:rsidRPr="006153AD">
        <w:rPr>
          <w:sz w:val="22"/>
          <w:szCs w:val="22"/>
        </w:rPr>
        <w:fldChar w:fldCharType="end"/>
      </w:r>
      <w:r w:rsidRPr="006153AD">
        <w:rPr>
          <w:sz w:val="22"/>
          <w:szCs w:val="22"/>
        </w:rPr>
        <w:t>.</w:t>
      </w:r>
    </w:p>
    <w:p w14:paraId="2B1CC138" w14:textId="77777777" w:rsidR="002B3863" w:rsidRPr="00F10F5D" w:rsidRDefault="002B3863" w:rsidP="006153AD">
      <w:pPr>
        <w:ind w:firstLine="360"/>
        <w:jc w:val="both"/>
        <w:rPr>
          <w:sz w:val="22"/>
          <w:szCs w:val="22"/>
          <w:lang w:val="id-ID"/>
        </w:rPr>
      </w:pPr>
    </w:p>
    <w:p w14:paraId="06620DC5" w14:textId="77777777" w:rsidR="00E543CA" w:rsidRPr="00F10F5D" w:rsidRDefault="00E543CA" w:rsidP="00F10F5D">
      <w:pPr>
        <w:rPr>
          <w:b/>
          <w:bCs/>
          <w:sz w:val="22"/>
          <w:szCs w:val="22"/>
        </w:rPr>
      </w:pPr>
      <w:r w:rsidRPr="00F10F5D">
        <w:rPr>
          <w:b/>
          <w:bCs/>
          <w:sz w:val="22"/>
          <w:szCs w:val="22"/>
        </w:rPr>
        <w:t>Gambaran Status Nutrisi Berdasarkan Pemeriksaan Fisik</w:t>
      </w:r>
    </w:p>
    <w:p w14:paraId="7AB6FA95" w14:textId="77777777" w:rsidR="00E543CA" w:rsidRPr="006153AD" w:rsidRDefault="00E543CA" w:rsidP="006153AD">
      <w:pPr>
        <w:ind w:firstLine="360"/>
        <w:jc w:val="both"/>
        <w:rPr>
          <w:sz w:val="22"/>
          <w:szCs w:val="22"/>
        </w:rPr>
      </w:pPr>
      <w:r w:rsidRPr="006153AD">
        <w:rPr>
          <w:sz w:val="22"/>
          <w:szCs w:val="22"/>
        </w:rPr>
        <w:t xml:space="preserve">Hasil penelitian menunjukkan bahwa 11 responden (55,0%) berada pada kategori gizi ringan/sedang, 3 responden (15,0%) gizi buruk, dan 6 responden (30,0%) dalam kondisi normal. Hal ini menunjukkan bahwa </w:t>
      </w:r>
      <w:r w:rsidRPr="006153AD">
        <w:rPr>
          <w:rStyle w:val="Strong"/>
          <w:b w:val="0"/>
          <w:bCs w:val="0"/>
          <w:sz w:val="22"/>
          <w:szCs w:val="22"/>
        </w:rPr>
        <w:t>70% pasien memiliki tanda klinis malnutrisi</w:t>
      </w:r>
      <w:r w:rsidRPr="006153AD">
        <w:rPr>
          <w:b/>
          <w:bCs/>
          <w:sz w:val="22"/>
          <w:szCs w:val="22"/>
        </w:rPr>
        <w:t>,</w:t>
      </w:r>
      <w:r w:rsidRPr="006153AD">
        <w:rPr>
          <w:sz w:val="22"/>
          <w:szCs w:val="22"/>
        </w:rPr>
        <w:t xml:space="preserve"> seperti penurunan lemak subkutan dan </w:t>
      </w:r>
      <w:proofErr w:type="gramStart"/>
      <w:r w:rsidRPr="006153AD">
        <w:rPr>
          <w:sz w:val="22"/>
          <w:szCs w:val="22"/>
        </w:rPr>
        <w:t>massa</w:t>
      </w:r>
      <w:proofErr w:type="gramEnd"/>
      <w:r w:rsidRPr="006153AD">
        <w:rPr>
          <w:sz w:val="22"/>
          <w:szCs w:val="22"/>
        </w:rPr>
        <w:t xml:space="preserve"> otot. </w:t>
      </w:r>
      <w:proofErr w:type="gramStart"/>
      <w:r w:rsidRPr="006153AD">
        <w:rPr>
          <w:sz w:val="22"/>
          <w:szCs w:val="22"/>
        </w:rPr>
        <w:t>Pemeriksaan fisik dalam SGA memberikan gambaran nyata mengenai kondisi tubuh pasien.</w:t>
      </w:r>
      <w:proofErr w:type="gramEnd"/>
      <w:r w:rsidRPr="006153AD">
        <w:rPr>
          <w:sz w:val="22"/>
          <w:szCs w:val="22"/>
        </w:rPr>
        <w:t xml:space="preserve"> Pemeriksaan fisik merupakan indikator sensitif dalam mendeteksi malnutrisi, bahkan sebelum perubahan signifikan terlihat pada parameter lain </w:t>
      </w:r>
      <w:r w:rsidRPr="006153AD">
        <w:rPr>
          <w:sz w:val="22"/>
          <w:szCs w:val="22"/>
        </w:rPr>
        <w:fldChar w:fldCharType="begin" w:fldLock="1"/>
      </w:r>
      <w:r w:rsidRPr="006153AD">
        <w:rPr>
          <w:sz w:val="22"/>
          <w:szCs w:val="22"/>
        </w:rPr>
        <w:instrText>ADDIN CSL_CITATION {"citationItems":[{"id":"ITEM-1","itemData":{"author":[{"dropping-particle":"","family":"Xu","given":"Yue Camille","non-dropping-particle":"","parse-names":false,"suffix":""},{"dropping-particle":"","family":"Vincent","given":"Joshua I","non-dropping-particle":"","parse-names":false,"suffix":""}],"id":"ITEM-1","issued":{"date-parts":[["2020"]]},"page":"1-13","publisher":"Nutrition Journal","title":"Clinical measurement properties of malnutrition assessment tools for use with patients in hospitals : a systematic review","type":"article-journal"},"uris":["http://www.mendeley.com/documents/?uuid=931cd7f8-7fd3-4d93-a8d0-4bcc39dc8670"]}],"mendeley":{"formattedCitation":"(Xu &amp; Vincent, 2020)","plainTextFormattedCitation":"(Xu &amp; Vincent, 2020)","previouslyFormattedCitation":"(Xu &amp; Vincent, 2020)"},"properties":{"noteIndex":0},"schema":"https://github.com/citation-style-language/schema/raw/master/csl-citation.json"}</w:instrText>
      </w:r>
      <w:r w:rsidRPr="006153AD">
        <w:rPr>
          <w:sz w:val="22"/>
          <w:szCs w:val="22"/>
        </w:rPr>
        <w:fldChar w:fldCharType="separate"/>
      </w:r>
      <w:r w:rsidRPr="006153AD">
        <w:rPr>
          <w:noProof/>
          <w:sz w:val="22"/>
          <w:szCs w:val="22"/>
        </w:rPr>
        <w:t>(Xu &amp; Vincent, 2020)</w:t>
      </w:r>
      <w:r w:rsidRPr="006153AD">
        <w:rPr>
          <w:sz w:val="22"/>
          <w:szCs w:val="22"/>
        </w:rPr>
        <w:fldChar w:fldCharType="end"/>
      </w:r>
      <w:r w:rsidRPr="006153AD">
        <w:rPr>
          <w:sz w:val="22"/>
          <w:szCs w:val="22"/>
        </w:rPr>
        <w:t>.</w:t>
      </w:r>
    </w:p>
    <w:p w14:paraId="58B812EC" w14:textId="77777777" w:rsidR="00E543CA" w:rsidRPr="006153AD" w:rsidRDefault="00E543CA" w:rsidP="006153AD">
      <w:pPr>
        <w:ind w:firstLine="360"/>
        <w:jc w:val="both"/>
        <w:rPr>
          <w:sz w:val="22"/>
          <w:szCs w:val="22"/>
        </w:rPr>
      </w:pPr>
      <w:r w:rsidRPr="006153AD">
        <w:rPr>
          <w:sz w:val="22"/>
          <w:szCs w:val="22"/>
        </w:rPr>
        <w:t xml:space="preserve">Penelitian ini memiliki kelebihan dalam memberikan gambaran status nilai nutrisi pasien limfoma menggunakan metode </w:t>
      </w:r>
      <w:r w:rsidRPr="006153AD">
        <w:rPr>
          <w:i/>
          <w:iCs/>
          <w:sz w:val="22"/>
          <w:szCs w:val="22"/>
        </w:rPr>
        <w:t>Subjective Global Assessment</w:t>
      </w:r>
      <w:r w:rsidRPr="006153AD">
        <w:rPr>
          <w:sz w:val="22"/>
          <w:szCs w:val="22"/>
        </w:rPr>
        <w:t xml:space="preserve"> (SGA) yang menilai kondisi pasien secara menyeluruh melalui beberapa domain, seperti perubahan berat badan, asupan makan, gejala gastrointestinal, kapasitas fungsional, kebutuhan metabolik penyakit, serta pemeriksaan fisik. </w:t>
      </w:r>
      <w:proofErr w:type="gramStart"/>
      <w:r w:rsidRPr="006153AD">
        <w:rPr>
          <w:sz w:val="22"/>
          <w:szCs w:val="22"/>
        </w:rPr>
        <w:t>Penggunaan SGA pada penelitian ini memberikan gambaran yang lebih komprehensif mengenai kondisi gizi pasien dibandingkan hanya menggunakan parameter antropometri atau pemeriksaan laboratorium saja.</w:t>
      </w:r>
      <w:proofErr w:type="gramEnd"/>
      <w:r w:rsidRPr="006153AD">
        <w:rPr>
          <w:sz w:val="22"/>
          <w:szCs w:val="22"/>
        </w:rPr>
        <w:t xml:space="preserve"> </w:t>
      </w:r>
      <w:proofErr w:type="gramStart"/>
      <w:r w:rsidRPr="006153AD">
        <w:rPr>
          <w:sz w:val="22"/>
          <w:szCs w:val="22"/>
        </w:rPr>
        <w:t xml:space="preserve">Selain itu, penelitian ini juga mampu mengidentifikasi pasien yang berisiko mengalami malnutrisi sejak dini sehingga dapat menjadi dasar dalam menentukan intervensi gizi dan tindakan </w:t>
      </w:r>
      <w:r w:rsidRPr="006153AD">
        <w:rPr>
          <w:sz w:val="22"/>
          <w:szCs w:val="22"/>
        </w:rPr>
        <w:lastRenderedPageBreak/>
        <w:t>keperawatan yang sesuai pada pasien limfoma di RSUD Sayang Cianjur.</w:t>
      </w:r>
      <w:proofErr w:type="gramEnd"/>
    </w:p>
    <w:p w14:paraId="28BADE0C" w14:textId="77777777" w:rsidR="00E543CA" w:rsidRPr="006153AD" w:rsidRDefault="00E543CA" w:rsidP="006153AD">
      <w:pPr>
        <w:ind w:firstLine="360"/>
        <w:jc w:val="both"/>
        <w:rPr>
          <w:sz w:val="22"/>
          <w:szCs w:val="22"/>
        </w:rPr>
      </w:pPr>
      <w:proofErr w:type="gramStart"/>
      <w:r w:rsidRPr="006153AD">
        <w:rPr>
          <w:sz w:val="22"/>
          <w:szCs w:val="22"/>
        </w:rPr>
        <w:t>Kelebihan lainnya adalah penelitian ini menghubungkan kondisi status gizi dengan kondisi klinis pasien limfoma, seperti peningkatan kebutuhan metabolik, penurunan nafsu makan, mual, kelelahan, demam berkepanjangan, dan keringat malam yang dapat mempengaruhi status nutrisi pasien.</w:t>
      </w:r>
      <w:proofErr w:type="gramEnd"/>
      <w:r w:rsidRPr="006153AD">
        <w:rPr>
          <w:sz w:val="22"/>
          <w:szCs w:val="22"/>
        </w:rPr>
        <w:t xml:space="preserve"> </w:t>
      </w:r>
      <w:proofErr w:type="gramStart"/>
      <w:r w:rsidRPr="006153AD">
        <w:rPr>
          <w:sz w:val="22"/>
          <w:szCs w:val="22"/>
        </w:rPr>
        <w:t>Dengan demikian, hasil penelitian ini dapat memberikan gambaran nyata mengenai pentingnya pemantauan status gizi pada pasien limfoma selama menjalani pengobatan.</w:t>
      </w:r>
      <w:proofErr w:type="gramEnd"/>
      <w:r w:rsidRPr="006153AD">
        <w:rPr>
          <w:sz w:val="22"/>
          <w:szCs w:val="22"/>
        </w:rPr>
        <w:t xml:space="preserve"> </w:t>
      </w:r>
      <w:proofErr w:type="gramStart"/>
      <w:r w:rsidRPr="006153AD">
        <w:rPr>
          <w:sz w:val="22"/>
          <w:szCs w:val="22"/>
        </w:rPr>
        <w:t>Selain itu, penggunaan SGA dalam penelitian ini dapat membantu perawat dalam melakukan skrining dan pemantauan status gizi secara lebih cepat, mudah, dan praktis sebagai bagian dari intervensi keperawatan holistik.</w:t>
      </w:r>
      <w:proofErr w:type="gramEnd"/>
    </w:p>
    <w:p w14:paraId="23E544EF" w14:textId="77777777" w:rsidR="00E543CA" w:rsidRPr="006153AD" w:rsidRDefault="00E543CA" w:rsidP="006153AD">
      <w:pPr>
        <w:ind w:firstLine="360"/>
        <w:jc w:val="both"/>
        <w:rPr>
          <w:sz w:val="22"/>
          <w:szCs w:val="22"/>
        </w:rPr>
      </w:pPr>
      <w:proofErr w:type="gramStart"/>
      <w:r w:rsidRPr="006153AD">
        <w:rPr>
          <w:sz w:val="22"/>
          <w:szCs w:val="22"/>
        </w:rPr>
        <w:t>Dalam praktik keperawatan, Subjective Global Assessment (SGA) memiliki peran penting sebagai alat penilaian awal untuk mendeteksi risiko malnutrisi pada pasien limfoma.</w:t>
      </w:r>
      <w:proofErr w:type="gramEnd"/>
      <w:r w:rsidRPr="006153AD">
        <w:rPr>
          <w:sz w:val="22"/>
          <w:szCs w:val="22"/>
        </w:rPr>
        <w:t xml:space="preserve"> </w:t>
      </w:r>
      <w:proofErr w:type="gramStart"/>
      <w:r w:rsidRPr="006153AD">
        <w:rPr>
          <w:sz w:val="22"/>
          <w:szCs w:val="22"/>
        </w:rPr>
        <w:t>Hasil penilaian SGA dapat membantu perawat dalam menentukan kebutuhan intervensi keperawatan, seperti edukasi nutrisi, pemantauan asupan makan, kolaborasi dengan ahli gizi, serta evaluasi kondisi fisik pasien secara berkala.</w:t>
      </w:r>
      <w:proofErr w:type="gramEnd"/>
      <w:r w:rsidRPr="006153AD">
        <w:rPr>
          <w:sz w:val="22"/>
          <w:szCs w:val="22"/>
        </w:rPr>
        <w:t xml:space="preserve"> Perawat juga berperan dalam mengidentifikasi tanda-tanda penurunan status gizi melalui observasi perubahan berat badan, penurunan </w:t>
      </w:r>
      <w:proofErr w:type="gramStart"/>
      <w:r w:rsidRPr="006153AD">
        <w:rPr>
          <w:sz w:val="22"/>
          <w:szCs w:val="22"/>
        </w:rPr>
        <w:t>massa</w:t>
      </w:r>
      <w:proofErr w:type="gramEnd"/>
      <w:r w:rsidRPr="006153AD">
        <w:rPr>
          <w:sz w:val="22"/>
          <w:szCs w:val="22"/>
        </w:rPr>
        <w:t xml:space="preserve"> otot, kelemahan fisik, serta keluhan gastrointestinal yang dialami pasien. </w:t>
      </w:r>
      <w:proofErr w:type="gramStart"/>
      <w:r w:rsidRPr="006153AD">
        <w:rPr>
          <w:sz w:val="22"/>
          <w:szCs w:val="22"/>
        </w:rPr>
        <w:t>Oleh karena itu, penggunaan SGA dapat mendukung pemberian asuhan keperawatan yang lebih optimal dan terarah dalam mempertahankan status nutrisi pasien limfoma.</w:t>
      </w:r>
      <w:proofErr w:type="gramEnd"/>
    </w:p>
    <w:p w14:paraId="2D923EBF" w14:textId="77777777" w:rsidR="00E543CA" w:rsidRPr="006153AD" w:rsidRDefault="00E543CA" w:rsidP="006153AD">
      <w:pPr>
        <w:ind w:firstLine="360"/>
        <w:jc w:val="both"/>
        <w:rPr>
          <w:sz w:val="22"/>
          <w:szCs w:val="22"/>
        </w:rPr>
      </w:pPr>
      <w:proofErr w:type="gramStart"/>
      <w:r w:rsidRPr="006153AD">
        <w:rPr>
          <w:sz w:val="22"/>
          <w:szCs w:val="22"/>
        </w:rPr>
        <w:t>Namun, penelitian ini masih memiliki beberapa kekurangan.</w:t>
      </w:r>
      <w:proofErr w:type="gramEnd"/>
      <w:r w:rsidRPr="006153AD">
        <w:rPr>
          <w:sz w:val="22"/>
          <w:szCs w:val="22"/>
        </w:rPr>
        <w:t xml:space="preserve"> </w:t>
      </w:r>
      <w:proofErr w:type="gramStart"/>
      <w:r w:rsidRPr="006153AD">
        <w:rPr>
          <w:sz w:val="22"/>
          <w:szCs w:val="22"/>
        </w:rPr>
        <w:t>Penelitian menggunakan desain cross-sectional sehingga hanya menggambarkan kondisi status gizi pasien pada satu waktu tertentu dan belum dapat memantau perubahan status nutrisi pasien secara jangka panjang selama menjalani terapi kanker.</w:t>
      </w:r>
      <w:proofErr w:type="gramEnd"/>
      <w:r w:rsidRPr="006153AD">
        <w:rPr>
          <w:sz w:val="22"/>
          <w:szCs w:val="22"/>
        </w:rPr>
        <w:t xml:space="preserve"> </w:t>
      </w:r>
      <w:proofErr w:type="gramStart"/>
      <w:r w:rsidRPr="006153AD">
        <w:rPr>
          <w:sz w:val="22"/>
          <w:szCs w:val="22"/>
        </w:rPr>
        <w:t>Selain itu, jumlah sampel yang relatif sedikit dan hanya dilakukan di satu rumah sakit menyebabkan hasil penelitian belum dapat digeneralisasikan secara luas pada seluruh pasien limfoma.</w:t>
      </w:r>
      <w:proofErr w:type="gramEnd"/>
      <w:r w:rsidRPr="006153AD">
        <w:rPr>
          <w:sz w:val="22"/>
          <w:szCs w:val="22"/>
        </w:rPr>
        <w:t xml:space="preserve"> Penelitian ini juga masih menggunakan data subjektif dari wawancara pasien dalam pengisian SGA sehingga memungkinkan adanya bias informasi akibat perbedaan persepsi atau kemampuan responden dalam mengingat kondisi sebelumnya.</w:t>
      </w:r>
    </w:p>
    <w:p w14:paraId="5939955C" w14:textId="3E5901B9" w:rsidR="00FB2495" w:rsidRDefault="00E543CA" w:rsidP="006153AD">
      <w:pPr>
        <w:ind w:firstLine="360"/>
        <w:jc w:val="both"/>
        <w:rPr>
          <w:sz w:val="22"/>
          <w:szCs w:val="22"/>
          <w:lang w:val="id-ID"/>
        </w:rPr>
      </w:pPr>
      <w:r w:rsidRPr="006153AD">
        <w:rPr>
          <w:sz w:val="22"/>
          <w:szCs w:val="22"/>
        </w:rPr>
        <w:lastRenderedPageBreak/>
        <w:t xml:space="preserve">Selain itu, penelitian ini belum mengombinasikan hasil SGA dengan pemeriksaan laboratorium atau parameter biokimia lainnya, seperti </w:t>
      </w:r>
      <w:proofErr w:type="gramStart"/>
      <w:r w:rsidRPr="006153AD">
        <w:rPr>
          <w:sz w:val="22"/>
          <w:szCs w:val="22"/>
        </w:rPr>
        <w:t>kadar</w:t>
      </w:r>
      <w:proofErr w:type="gramEnd"/>
      <w:r w:rsidRPr="006153AD">
        <w:rPr>
          <w:sz w:val="22"/>
          <w:szCs w:val="22"/>
        </w:rPr>
        <w:t xml:space="preserve"> albumin, hemoglobin, maupun penanda inflamasi yang dapat memberikan gambaran status nutrisi secara lebih objektif. Faktor </w:t>
      </w:r>
      <w:proofErr w:type="gramStart"/>
      <w:r w:rsidRPr="006153AD">
        <w:rPr>
          <w:sz w:val="22"/>
          <w:szCs w:val="22"/>
        </w:rPr>
        <w:t>lain</w:t>
      </w:r>
      <w:proofErr w:type="gramEnd"/>
      <w:r w:rsidRPr="006153AD">
        <w:rPr>
          <w:sz w:val="22"/>
          <w:szCs w:val="22"/>
        </w:rPr>
        <w:t xml:space="preserve"> seperti stadium limfoma, jenis terapi, lama pengobatan, dan kondisi psikologis pasien juga belum dianalisis secara mendalam, padahal faktor-faktor tersebut dapat mempengaruhi kondisi nutrisi pasien limfoma. </w:t>
      </w:r>
      <w:proofErr w:type="gramStart"/>
      <w:r w:rsidRPr="006153AD">
        <w:rPr>
          <w:sz w:val="22"/>
          <w:szCs w:val="22"/>
        </w:rPr>
        <w:t>Oleh karena itu, penelitian selanjutnya disarankan untuk menggunakan jumlah sampel yang lebih besar, desain longitudinal, serta mengombinasikan penilaian SGA dengan pemeriksaan objektif lainnya agar hasil penelitian lebih akurat dan komprehensif.</w:t>
      </w:r>
      <w:proofErr w:type="gramEnd"/>
    </w:p>
    <w:p w14:paraId="4A41DF73" w14:textId="77777777" w:rsidR="00F10F5D" w:rsidRPr="00F10F5D" w:rsidRDefault="00F10F5D" w:rsidP="006153AD">
      <w:pPr>
        <w:ind w:firstLine="360"/>
        <w:jc w:val="both"/>
        <w:rPr>
          <w:sz w:val="22"/>
          <w:szCs w:val="22"/>
          <w:lang w:val="id-ID"/>
        </w:rPr>
      </w:pPr>
    </w:p>
    <w:p w14:paraId="1123DCFE" w14:textId="77777777" w:rsidR="00FB2495" w:rsidRPr="006153AD" w:rsidRDefault="0055649A" w:rsidP="006153AD">
      <w:pPr>
        <w:tabs>
          <w:tab w:val="left" w:pos="426"/>
        </w:tabs>
        <w:jc w:val="both"/>
        <w:rPr>
          <w:b/>
          <w:bCs/>
          <w:sz w:val="22"/>
          <w:szCs w:val="22"/>
        </w:rPr>
      </w:pPr>
      <w:r w:rsidRPr="006153AD">
        <w:rPr>
          <w:b/>
          <w:bCs/>
          <w:sz w:val="22"/>
          <w:szCs w:val="22"/>
        </w:rPr>
        <w:t>KESIMPULAN</w:t>
      </w:r>
    </w:p>
    <w:p w14:paraId="27E1A556" w14:textId="77777777" w:rsidR="00FB2495" w:rsidRPr="006153AD" w:rsidRDefault="00FB2495" w:rsidP="006153AD">
      <w:pPr>
        <w:tabs>
          <w:tab w:val="left" w:pos="426"/>
        </w:tabs>
        <w:jc w:val="both"/>
        <w:rPr>
          <w:b/>
          <w:bCs/>
          <w:sz w:val="22"/>
          <w:szCs w:val="22"/>
        </w:rPr>
      </w:pPr>
    </w:p>
    <w:p w14:paraId="2A988D41" w14:textId="77777777" w:rsidR="00A47A4A" w:rsidRPr="00F10F5D" w:rsidRDefault="00A47A4A" w:rsidP="006153AD">
      <w:pPr>
        <w:pStyle w:val="NormalWeb"/>
        <w:shd w:val="clear" w:color="auto" w:fill="FFFFFF"/>
        <w:spacing w:before="0" w:beforeAutospacing="0" w:after="0" w:afterAutospacing="0"/>
        <w:ind w:firstLine="720"/>
        <w:jc w:val="both"/>
        <w:rPr>
          <w:sz w:val="22"/>
          <w:szCs w:val="22"/>
        </w:rPr>
      </w:pPr>
      <w:r w:rsidRPr="00F10F5D">
        <w:rPr>
          <w:sz w:val="22"/>
          <w:szCs w:val="22"/>
        </w:rPr>
        <w:t xml:space="preserve">Berdasarkan hasil penelitian mengenai gambaran status nilai nutrisi dengan </w:t>
      </w:r>
      <w:r w:rsidRPr="00F10F5D">
        <w:rPr>
          <w:i/>
          <w:iCs/>
          <w:sz w:val="22"/>
          <w:szCs w:val="22"/>
        </w:rPr>
        <w:t>Subjective Global Assessment</w:t>
      </w:r>
      <w:r w:rsidRPr="00F10F5D">
        <w:rPr>
          <w:sz w:val="22"/>
          <w:szCs w:val="22"/>
        </w:rPr>
        <w:t xml:space="preserve"> (SGA) pada pasien limfoma di RSUD Sayang Cianjur, dapat disimpulkan sebagai berikut:</w:t>
      </w:r>
    </w:p>
    <w:p w14:paraId="396FC8BC" w14:textId="77777777" w:rsidR="00A47A4A" w:rsidRPr="00F10F5D" w:rsidRDefault="00A47A4A" w:rsidP="00F10F5D">
      <w:pPr>
        <w:pStyle w:val="NormalWeb"/>
        <w:widowControl/>
        <w:shd w:val="clear" w:color="auto" w:fill="FFFFFF"/>
        <w:spacing w:before="0" w:beforeAutospacing="0" w:after="0" w:afterAutospacing="0"/>
        <w:ind w:firstLine="360"/>
        <w:jc w:val="both"/>
        <w:rPr>
          <w:sz w:val="22"/>
          <w:szCs w:val="22"/>
        </w:rPr>
      </w:pPr>
      <w:r w:rsidRPr="00F10F5D">
        <w:rPr>
          <w:sz w:val="22"/>
          <w:szCs w:val="22"/>
        </w:rPr>
        <w:t>Karakteristik Responden: Mayoritas responden berada pada usia dewasa pertengahan (39–48 tahun) sebanyak 25</w:t>
      </w:r>
      <w:proofErr w:type="gramStart"/>
      <w:r w:rsidRPr="00F10F5D">
        <w:rPr>
          <w:sz w:val="22"/>
          <w:szCs w:val="22"/>
        </w:rPr>
        <w:t>,0</w:t>
      </w:r>
      <w:proofErr w:type="gramEnd"/>
      <w:r w:rsidRPr="00F10F5D">
        <w:rPr>
          <w:sz w:val="22"/>
          <w:szCs w:val="22"/>
        </w:rPr>
        <w:t>%, yang didominasi oleh perempuan (70,0%), dengan tingkat pendidikan sebagian besar SMP (40,0%) dan SMA/SMK (30,0%), serta status pekerjaan didominasi oleh ibu rumah tangga (60,0%). Kondisi ekonomi menunjukkan bahwa sebagian besar responden tidak berpenghasilan (50</w:t>
      </w:r>
      <w:proofErr w:type="gramStart"/>
      <w:r w:rsidRPr="00F10F5D">
        <w:rPr>
          <w:sz w:val="22"/>
          <w:szCs w:val="22"/>
        </w:rPr>
        <w:t>,0</w:t>
      </w:r>
      <w:proofErr w:type="gramEnd"/>
      <w:r w:rsidRPr="00F10F5D">
        <w:rPr>
          <w:sz w:val="22"/>
          <w:szCs w:val="22"/>
        </w:rPr>
        <w:t>%), sehingga menggambarkan tingkat ketergantungan ekonomi yang cukup tinggi.</w:t>
      </w:r>
    </w:p>
    <w:p w14:paraId="1074B123" w14:textId="77777777" w:rsidR="00A47A4A" w:rsidRPr="00F10F5D" w:rsidRDefault="00A47A4A" w:rsidP="00F10F5D">
      <w:pPr>
        <w:pStyle w:val="NormalWeb"/>
        <w:widowControl/>
        <w:shd w:val="clear" w:color="auto" w:fill="FFFFFF"/>
        <w:spacing w:before="0" w:beforeAutospacing="0" w:after="0" w:afterAutospacing="0"/>
        <w:ind w:firstLine="360"/>
        <w:jc w:val="both"/>
        <w:rPr>
          <w:sz w:val="22"/>
          <w:szCs w:val="22"/>
        </w:rPr>
      </w:pPr>
      <w:r w:rsidRPr="00F10F5D">
        <w:rPr>
          <w:sz w:val="22"/>
          <w:szCs w:val="22"/>
        </w:rPr>
        <w:t>Status Nutrisi Berdasarkan Berat Badan: Sebagian besar responden berada pada kategori gizi ringan/sedang (50</w:t>
      </w:r>
      <w:proofErr w:type="gramStart"/>
      <w:r w:rsidRPr="00F10F5D">
        <w:rPr>
          <w:sz w:val="22"/>
          <w:szCs w:val="22"/>
        </w:rPr>
        <w:t>,0</w:t>
      </w:r>
      <w:proofErr w:type="gramEnd"/>
      <w:r w:rsidRPr="00F10F5D">
        <w:rPr>
          <w:sz w:val="22"/>
          <w:szCs w:val="22"/>
        </w:rPr>
        <w:t xml:space="preserve">%), serta masih ditemukan responden dengan gizi buruk (35,0%). </w:t>
      </w:r>
      <w:proofErr w:type="gramStart"/>
      <w:r w:rsidRPr="00F10F5D">
        <w:rPr>
          <w:sz w:val="22"/>
          <w:szCs w:val="22"/>
        </w:rPr>
        <w:t>Hal ini menunjukkan adanya ketidakseimbangan antara asupan energi dan kebutuhan tubuh yang berpotensi mengarah pada kondisi malnutrisi.</w:t>
      </w:r>
      <w:proofErr w:type="gramEnd"/>
    </w:p>
    <w:p w14:paraId="67BC4136" w14:textId="77777777" w:rsidR="00A47A4A" w:rsidRPr="00F10F5D" w:rsidRDefault="00A47A4A" w:rsidP="00F10F5D">
      <w:pPr>
        <w:pStyle w:val="NormalWeb"/>
        <w:widowControl/>
        <w:shd w:val="clear" w:color="auto" w:fill="FFFFFF"/>
        <w:spacing w:before="0" w:beforeAutospacing="0" w:after="0" w:afterAutospacing="0"/>
        <w:ind w:firstLine="360"/>
        <w:jc w:val="both"/>
        <w:rPr>
          <w:sz w:val="22"/>
          <w:szCs w:val="22"/>
        </w:rPr>
      </w:pPr>
      <w:r w:rsidRPr="00F10F5D">
        <w:rPr>
          <w:sz w:val="22"/>
          <w:szCs w:val="22"/>
        </w:rPr>
        <w:t>Status Nutrisi Berdasarkan Asupan Makanan: Mayoritas responden memiliki asupan makanan dalam kategori gizi ringan/sedang (60</w:t>
      </w:r>
      <w:proofErr w:type="gramStart"/>
      <w:r w:rsidRPr="00F10F5D">
        <w:rPr>
          <w:sz w:val="22"/>
          <w:szCs w:val="22"/>
        </w:rPr>
        <w:t>,0</w:t>
      </w:r>
      <w:proofErr w:type="gramEnd"/>
      <w:r w:rsidRPr="00F10F5D">
        <w:rPr>
          <w:sz w:val="22"/>
          <w:szCs w:val="22"/>
        </w:rPr>
        <w:t xml:space="preserve">%). </w:t>
      </w:r>
      <w:proofErr w:type="gramStart"/>
      <w:r w:rsidRPr="00F10F5D">
        <w:rPr>
          <w:sz w:val="22"/>
          <w:szCs w:val="22"/>
        </w:rPr>
        <w:t>Hal ini menjadi indikasi bahwa kebutuhan nutrisi harian belum terpenuhi secara optimal, yang dapat berdampak pada penurunan kondisi kesehatan pasien.</w:t>
      </w:r>
      <w:proofErr w:type="gramEnd"/>
    </w:p>
    <w:p w14:paraId="3C1EA8FB" w14:textId="77777777" w:rsidR="00A47A4A" w:rsidRPr="00F10F5D" w:rsidRDefault="00A47A4A" w:rsidP="00F10F5D">
      <w:pPr>
        <w:pStyle w:val="NormalWeb"/>
        <w:widowControl/>
        <w:shd w:val="clear" w:color="auto" w:fill="FFFFFF"/>
        <w:spacing w:before="0" w:beforeAutospacing="0" w:after="0" w:afterAutospacing="0"/>
        <w:ind w:firstLine="360"/>
        <w:jc w:val="both"/>
        <w:rPr>
          <w:sz w:val="22"/>
          <w:szCs w:val="22"/>
        </w:rPr>
      </w:pPr>
      <w:r w:rsidRPr="00F10F5D">
        <w:rPr>
          <w:sz w:val="22"/>
          <w:szCs w:val="22"/>
        </w:rPr>
        <w:lastRenderedPageBreak/>
        <w:t>Status Nutrisi Berdasarkan Gejala Gastrointestinal: Sebagian besar responden mengalami gangguan gastrointestinal dalam kategori gizi ringan/sedang (50</w:t>
      </w:r>
      <w:proofErr w:type="gramStart"/>
      <w:r w:rsidRPr="00F10F5D">
        <w:rPr>
          <w:sz w:val="22"/>
          <w:szCs w:val="22"/>
        </w:rPr>
        <w:t>,0</w:t>
      </w:r>
      <w:proofErr w:type="gramEnd"/>
      <w:r w:rsidRPr="00F10F5D">
        <w:rPr>
          <w:sz w:val="22"/>
          <w:szCs w:val="22"/>
        </w:rPr>
        <w:t>%) dan gizi buruk (35,0%). Kondisi ini menunjukkan adanya gangguan pada sistem pencernaan yang dapat mempengaruhi proses penyerapan nutrisi.</w:t>
      </w:r>
    </w:p>
    <w:p w14:paraId="7F458264" w14:textId="77777777" w:rsidR="00A47A4A" w:rsidRPr="00F10F5D" w:rsidRDefault="00A47A4A" w:rsidP="00F10F5D">
      <w:pPr>
        <w:pStyle w:val="NormalWeb"/>
        <w:widowControl/>
        <w:shd w:val="clear" w:color="auto" w:fill="FFFFFF"/>
        <w:spacing w:before="0" w:beforeAutospacing="0" w:after="0" w:afterAutospacing="0"/>
        <w:ind w:firstLine="360"/>
        <w:jc w:val="both"/>
        <w:rPr>
          <w:sz w:val="22"/>
          <w:szCs w:val="22"/>
        </w:rPr>
      </w:pPr>
      <w:r w:rsidRPr="00F10F5D">
        <w:rPr>
          <w:sz w:val="22"/>
          <w:szCs w:val="22"/>
        </w:rPr>
        <w:t>Status Nutrisi Berdasarkan Kapasitas Fungsional: Mayoritas responden berada pada kategori gizi ringan/sedang (50</w:t>
      </w:r>
      <w:proofErr w:type="gramStart"/>
      <w:r w:rsidRPr="00F10F5D">
        <w:rPr>
          <w:sz w:val="22"/>
          <w:szCs w:val="22"/>
        </w:rPr>
        <w:t>,0</w:t>
      </w:r>
      <w:proofErr w:type="gramEnd"/>
      <w:r w:rsidRPr="00F10F5D">
        <w:rPr>
          <w:sz w:val="22"/>
          <w:szCs w:val="22"/>
        </w:rPr>
        <w:t>%), yang mengindikasikan adanya penurunan kemampuan dalam melakukan aktivitas sehari-hari akibat kondisi fisik yang tidak optimal.</w:t>
      </w:r>
    </w:p>
    <w:p w14:paraId="28A83509" w14:textId="77777777" w:rsidR="00A47A4A" w:rsidRPr="00F10F5D" w:rsidRDefault="00A47A4A" w:rsidP="00F10F5D">
      <w:pPr>
        <w:pStyle w:val="NormalWeb"/>
        <w:widowControl/>
        <w:shd w:val="clear" w:color="auto" w:fill="FFFFFF"/>
        <w:spacing w:before="0" w:beforeAutospacing="0" w:after="0" w:afterAutospacing="0"/>
        <w:ind w:firstLine="360"/>
        <w:jc w:val="both"/>
        <w:rPr>
          <w:sz w:val="22"/>
          <w:szCs w:val="22"/>
        </w:rPr>
      </w:pPr>
      <w:r w:rsidRPr="00F10F5D">
        <w:rPr>
          <w:sz w:val="22"/>
          <w:szCs w:val="22"/>
        </w:rPr>
        <w:t>Status Nutrisi Berdasarkan Penyakit dan Kebutuhan Gizi: Sebagian besar responden berada pada kategori gizi baik (75</w:t>
      </w:r>
      <w:proofErr w:type="gramStart"/>
      <w:r w:rsidRPr="00F10F5D">
        <w:rPr>
          <w:sz w:val="22"/>
          <w:szCs w:val="22"/>
        </w:rPr>
        <w:t>,0</w:t>
      </w:r>
      <w:proofErr w:type="gramEnd"/>
      <w:r w:rsidRPr="00F10F5D">
        <w:rPr>
          <w:sz w:val="22"/>
          <w:szCs w:val="22"/>
        </w:rPr>
        <w:t xml:space="preserve">%), namun tetap terdapat responden dengan gizi ringan/sedang dan gizi buruk. </w:t>
      </w:r>
      <w:proofErr w:type="gramStart"/>
      <w:r w:rsidRPr="00F10F5D">
        <w:rPr>
          <w:sz w:val="22"/>
          <w:szCs w:val="22"/>
        </w:rPr>
        <w:t>Hal ini menunjukkan bahwa kondisi penyakit tetap berpotensi mempengaruhi kebutuhan nutrisi pasien.</w:t>
      </w:r>
      <w:proofErr w:type="gramEnd"/>
    </w:p>
    <w:p w14:paraId="580753BD" w14:textId="77777777" w:rsidR="00A47A4A" w:rsidRPr="00F10F5D" w:rsidRDefault="00A47A4A" w:rsidP="00F10F5D">
      <w:pPr>
        <w:pStyle w:val="NormalWeb"/>
        <w:widowControl/>
        <w:shd w:val="clear" w:color="auto" w:fill="FFFFFF"/>
        <w:spacing w:before="0" w:beforeAutospacing="0" w:after="0" w:afterAutospacing="0"/>
        <w:ind w:firstLine="360"/>
        <w:jc w:val="both"/>
        <w:rPr>
          <w:sz w:val="22"/>
          <w:szCs w:val="22"/>
        </w:rPr>
      </w:pPr>
      <w:r w:rsidRPr="00F10F5D">
        <w:rPr>
          <w:sz w:val="22"/>
          <w:szCs w:val="22"/>
        </w:rPr>
        <w:t>Status Nutrisi Berdasarkan Pemeriksaan Fisik: Sebagian besar responden berada pada kategori gizi ringan/sedang (55</w:t>
      </w:r>
      <w:proofErr w:type="gramStart"/>
      <w:r w:rsidRPr="00F10F5D">
        <w:rPr>
          <w:sz w:val="22"/>
          <w:szCs w:val="22"/>
        </w:rPr>
        <w:t>,0</w:t>
      </w:r>
      <w:proofErr w:type="gramEnd"/>
      <w:r w:rsidRPr="00F10F5D">
        <w:rPr>
          <w:sz w:val="22"/>
          <w:szCs w:val="22"/>
        </w:rPr>
        <w:t>%), yang menunjukkan adanya tanda-tanda klinis awal malnutrisi seperti penurunan massa otot dan lemak tubuh.</w:t>
      </w:r>
    </w:p>
    <w:p w14:paraId="2AFCD82C" w14:textId="77777777" w:rsidR="00453ABC" w:rsidRPr="00E71F9A" w:rsidRDefault="00453ABC" w:rsidP="006153AD">
      <w:pPr>
        <w:pStyle w:val="NormalWeb"/>
        <w:widowControl/>
        <w:shd w:val="clear" w:color="auto" w:fill="FFFFFF"/>
        <w:spacing w:before="0" w:beforeAutospacing="0" w:after="0" w:afterAutospacing="0"/>
        <w:jc w:val="both"/>
        <w:rPr>
          <w:sz w:val="22"/>
          <w:szCs w:val="22"/>
          <w:lang w:val="id-ID"/>
        </w:rPr>
      </w:pPr>
    </w:p>
    <w:p w14:paraId="3BF61A28" w14:textId="77777777" w:rsidR="00FB2495" w:rsidRPr="00F10F5D" w:rsidRDefault="0055649A" w:rsidP="006153AD">
      <w:pPr>
        <w:tabs>
          <w:tab w:val="left" w:pos="426"/>
        </w:tabs>
        <w:jc w:val="both"/>
        <w:rPr>
          <w:b/>
          <w:bCs/>
          <w:sz w:val="22"/>
          <w:szCs w:val="22"/>
        </w:rPr>
      </w:pPr>
      <w:r w:rsidRPr="00F10F5D">
        <w:rPr>
          <w:b/>
          <w:bCs/>
          <w:sz w:val="22"/>
          <w:szCs w:val="22"/>
        </w:rPr>
        <w:t>DAFTAR PUSTAKA</w:t>
      </w:r>
    </w:p>
    <w:p w14:paraId="6B5655C2" w14:textId="77777777" w:rsidR="00FB2495" w:rsidRPr="00F10F5D" w:rsidRDefault="00FB2495" w:rsidP="006153AD">
      <w:pPr>
        <w:pBdr>
          <w:top w:val="nil"/>
          <w:left w:val="nil"/>
          <w:bottom w:val="nil"/>
          <w:right w:val="nil"/>
          <w:between w:val="nil"/>
        </w:pBdr>
        <w:jc w:val="both"/>
        <w:rPr>
          <w:sz w:val="22"/>
          <w:szCs w:val="22"/>
        </w:rPr>
      </w:pPr>
    </w:p>
    <w:p w14:paraId="2CB25990" w14:textId="5DE582D7" w:rsidR="00D922ED" w:rsidRPr="00F10F5D" w:rsidRDefault="00D922ED" w:rsidP="00E71F9A">
      <w:pPr>
        <w:widowControl w:val="0"/>
        <w:autoSpaceDE w:val="0"/>
        <w:autoSpaceDN w:val="0"/>
        <w:adjustRightInd w:val="0"/>
        <w:ind w:left="480" w:hanging="480"/>
        <w:jc w:val="both"/>
        <w:rPr>
          <w:noProof/>
          <w:sz w:val="22"/>
          <w:szCs w:val="22"/>
        </w:rPr>
      </w:pPr>
      <w:r w:rsidRPr="00F10F5D">
        <w:rPr>
          <w:b/>
          <w:bCs/>
          <w:sz w:val="22"/>
          <w:szCs w:val="22"/>
        </w:rPr>
        <w:fldChar w:fldCharType="begin" w:fldLock="1"/>
      </w:r>
      <w:r w:rsidRPr="00F10F5D">
        <w:rPr>
          <w:b/>
          <w:bCs/>
          <w:sz w:val="22"/>
          <w:szCs w:val="22"/>
        </w:rPr>
        <w:instrText xml:space="preserve">ADDIN Mendeley Bibliography CSL_BIBLIOGRAPHY </w:instrText>
      </w:r>
      <w:r w:rsidRPr="00F10F5D">
        <w:rPr>
          <w:b/>
          <w:bCs/>
          <w:sz w:val="22"/>
          <w:szCs w:val="22"/>
        </w:rPr>
        <w:fldChar w:fldCharType="separate"/>
      </w:r>
      <w:r w:rsidRPr="00F10F5D">
        <w:rPr>
          <w:noProof/>
          <w:sz w:val="22"/>
          <w:szCs w:val="22"/>
        </w:rPr>
        <w:t xml:space="preserve">Aguilar-vel, A., &amp; Adonai, I. (2024). </w:t>
      </w:r>
      <w:r w:rsidRPr="00F10F5D">
        <w:rPr>
          <w:i/>
          <w:iCs/>
          <w:noProof/>
          <w:sz w:val="22"/>
          <w:szCs w:val="22"/>
        </w:rPr>
        <w:t>Methodological and Statistical Considerations for Cross-Sectional , Case – Control , and Cohort Studies</w:t>
      </w:r>
      <w:r w:rsidRPr="00F10F5D">
        <w:rPr>
          <w:noProof/>
          <w:sz w:val="22"/>
          <w:szCs w:val="22"/>
        </w:rPr>
        <w:t>. 1–14.</w:t>
      </w:r>
    </w:p>
    <w:p w14:paraId="5122B810"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Ali, Z., Scheelbeek, P. F. D., Sanin, K. I., Thomas, T. S., Ahmed, T., Prentice, A. M., &amp; Green, R. (2021). </w:t>
      </w:r>
      <w:r w:rsidRPr="00F10F5D">
        <w:rPr>
          <w:i/>
          <w:iCs/>
          <w:noProof/>
          <w:sz w:val="22"/>
          <w:szCs w:val="22"/>
        </w:rPr>
        <w:t>Characteristics of Distinct Dietary Patterns in Rural Bangladesh : Nutrient Adequacy and Vulnerability to Shocks</w:t>
      </w:r>
      <w:r w:rsidRPr="00F10F5D">
        <w:rPr>
          <w:noProof/>
          <w:sz w:val="22"/>
          <w:szCs w:val="22"/>
        </w:rPr>
        <w:t>. 1–13.</w:t>
      </w:r>
    </w:p>
    <w:p w14:paraId="3BFC13FB"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Ardinal, A. P., Wiramihardja, S., &amp; Wijaya, I. (2019). Malnutrition in Non-Hodgkin Lymphoma Patients at Dr. Hasan Sadikin General Hospital Bandung. </w:t>
      </w:r>
      <w:r w:rsidRPr="00F10F5D">
        <w:rPr>
          <w:i/>
          <w:iCs/>
          <w:noProof/>
          <w:sz w:val="22"/>
          <w:szCs w:val="22"/>
        </w:rPr>
        <w:t>Althea Medical Journal</w:t>
      </w:r>
      <w:r w:rsidRPr="00F10F5D">
        <w:rPr>
          <w:noProof/>
          <w:sz w:val="22"/>
          <w:szCs w:val="22"/>
        </w:rPr>
        <w:t xml:space="preserve">, </w:t>
      </w:r>
      <w:r w:rsidRPr="00F10F5D">
        <w:rPr>
          <w:i/>
          <w:iCs/>
          <w:noProof/>
          <w:sz w:val="22"/>
          <w:szCs w:val="22"/>
        </w:rPr>
        <w:t>6</w:t>
      </w:r>
      <w:r w:rsidRPr="00F10F5D">
        <w:rPr>
          <w:noProof/>
          <w:sz w:val="22"/>
          <w:szCs w:val="22"/>
        </w:rPr>
        <w:t>(1), 7–12. https://doi.org/10.15850/amj.v6n1.1521</w:t>
      </w:r>
    </w:p>
    <w:p w14:paraId="509759AD"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Beirer, A. (2021). </w:t>
      </w:r>
      <w:r w:rsidRPr="00F10F5D">
        <w:rPr>
          <w:i/>
          <w:iCs/>
          <w:noProof/>
          <w:sz w:val="22"/>
          <w:szCs w:val="22"/>
        </w:rPr>
        <w:t>Malnutrition and cancer , diagnosis and treatment</w:t>
      </w:r>
      <w:r w:rsidRPr="00F10F5D">
        <w:rPr>
          <w:noProof/>
          <w:sz w:val="22"/>
          <w:szCs w:val="22"/>
        </w:rPr>
        <w:t>. 168–173. https://doi.org/10.1007/s12254-020-00672-3</w:t>
      </w:r>
    </w:p>
    <w:p w14:paraId="5958255A"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Caccialanza, R., Cotogni, P., Cereda, E., Bossi, P., Aprile, G., Delrio, P., Gnagnarella, P., Mascheroni, A., Monge, T., Corradi, E., </w:t>
      </w:r>
      <w:r w:rsidRPr="00F10F5D">
        <w:rPr>
          <w:noProof/>
          <w:sz w:val="22"/>
          <w:szCs w:val="22"/>
        </w:rPr>
        <w:lastRenderedPageBreak/>
        <w:t xml:space="preserve">&amp; Grieco, M. (2022). </w:t>
      </w:r>
      <w:r w:rsidRPr="00F10F5D">
        <w:rPr>
          <w:i/>
          <w:iCs/>
          <w:noProof/>
          <w:sz w:val="22"/>
          <w:szCs w:val="22"/>
        </w:rPr>
        <w:t>Nutritional Support in Cancer patients : update of the Italian Intersociety Working Group practical recommendations</w:t>
      </w:r>
      <w:r w:rsidRPr="00F10F5D">
        <w:rPr>
          <w:noProof/>
          <w:sz w:val="22"/>
          <w:szCs w:val="22"/>
        </w:rPr>
        <w:t xml:space="preserve">. </w:t>
      </w:r>
      <w:r w:rsidRPr="00F10F5D">
        <w:rPr>
          <w:i/>
          <w:iCs/>
          <w:noProof/>
          <w:sz w:val="22"/>
          <w:szCs w:val="22"/>
        </w:rPr>
        <w:t>13</w:t>
      </w:r>
      <w:r w:rsidRPr="00F10F5D">
        <w:rPr>
          <w:noProof/>
          <w:sz w:val="22"/>
          <w:szCs w:val="22"/>
        </w:rPr>
        <w:t>. https://doi.org/10.7150/jca.73130</w:t>
      </w:r>
    </w:p>
    <w:p w14:paraId="259DCFEE"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Campelj, D. G., &amp; Goodman, C. A. (2021). </w:t>
      </w:r>
      <w:r w:rsidRPr="00F10F5D">
        <w:rPr>
          <w:i/>
          <w:iCs/>
          <w:noProof/>
          <w:sz w:val="22"/>
          <w:szCs w:val="22"/>
        </w:rPr>
        <w:t>Chemotherapy-Induced Myopathy : The Dark Side of the Cachexia Sphere</w:t>
      </w:r>
      <w:r w:rsidRPr="00F10F5D">
        <w:rPr>
          <w:noProof/>
          <w:sz w:val="22"/>
          <w:szCs w:val="22"/>
        </w:rPr>
        <w:t>.</w:t>
      </w:r>
    </w:p>
    <w:p w14:paraId="323E95F5"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Cencioni, C., Trestini, I., Piro, G., Bria, E., Tortora, G., Carbone, C., &amp; Spallotta, F. (2022). </w:t>
      </w:r>
      <w:r w:rsidRPr="00F10F5D">
        <w:rPr>
          <w:i/>
          <w:iCs/>
          <w:noProof/>
          <w:sz w:val="22"/>
          <w:szCs w:val="22"/>
        </w:rPr>
        <w:t>Gastrointestinal Cancer Patient Nutritional Management : From Specific Needs to Novel Epigenetic Dietary Approaches</w:t>
      </w:r>
      <w:r w:rsidRPr="00F10F5D">
        <w:rPr>
          <w:noProof/>
          <w:sz w:val="22"/>
          <w:szCs w:val="22"/>
        </w:rPr>
        <w:t>. 1–15.</w:t>
      </w:r>
    </w:p>
    <w:p w14:paraId="260BB032"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Cree, I. A. (2022). </w:t>
      </w:r>
      <w:r w:rsidRPr="00F10F5D">
        <w:rPr>
          <w:i/>
          <w:iCs/>
          <w:noProof/>
          <w:sz w:val="22"/>
          <w:szCs w:val="22"/>
        </w:rPr>
        <w:t>The WHO Classi fi cation of Haematolymphoid Tumours</w:t>
      </w:r>
      <w:r w:rsidRPr="00F10F5D">
        <w:rPr>
          <w:noProof/>
          <w:sz w:val="22"/>
          <w:szCs w:val="22"/>
        </w:rPr>
        <w:t xml:space="preserve">. </w:t>
      </w:r>
      <w:r w:rsidRPr="00F10F5D">
        <w:rPr>
          <w:i/>
          <w:iCs/>
          <w:noProof/>
          <w:sz w:val="22"/>
          <w:szCs w:val="22"/>
        </w:rPr>
        <w:t>June 2021</w:t>
      </w:r>
      <w:r w:rsidRPr="00F10F5D">
        <w:rPr>
          <w:noProof/>
          <w:sz w:val="22"/>
          <w:szCs w:val="22"/>
        </w:rPr>
        <w:t>, 2021–2022. https://doi.org/10.1038/s41375-022-01625-x</w:t>
      </w:r>
    </w:p>
    <w:p w14:paraId="29733FFD"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Ferlay, J., Colombet, M., Soerjomataram, I., Parkin, D. M., Piñeros, M., Znaor, A., &amp; Bray, F. (2021). Cancer statistics for the year 2020: An overview. </w:t>
      </w:r>
      <w:r w:rsidRPr="00F10F5D">
        <w:rPr>
          <w:i/>
          <w:iCs/>
          <w:noProof/>
          <w:sz w:val="22"/>
          <w:szCs w:val="22"/>
        </w:rPr>
        <w:t>International Journal of Cancer</w:t>
      </w:r>
      <w:r w:rsidRPr="00F10F5D">
        <w:rPr>
          <w:noProof/>
          <w:sz w:val="22"/>
          <w:szCs w:val="22"/>
        </w:rPr>
        <w:t xml:space="preserve">, </w:t>
      </w:r>
      <w:r w:rsidRPr="00F10F5D">
        <w:rPr>
          <w:i/>
          <w:iCs/>
          <w:noProof/>
          <w:sz w:val="22"/>
          <w:szCs w:val="22"/>
        </w:rPr>
        <w:t>149</w:t>
      </w:r>
      <w:r w:rsidRPr="00F10F5D">
        <w:rPr>
          <w:noProof/>
          <w:sz w:val="22"/>
          <w:szCs w:val="22"/>
        </w:rPr>
        <w:t>(4), 778–789. https://doi.org/10.1002/ijc.33588</w:t>
      </w:r>
    </w:p>
    <w:p w14:paraId="456A8DDF"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Fr, B., Salvan, J., Roch, M. C., Guerin, A., Poupin, E., Pichon, M., &amp; Burucoa, C. (2023). </w:t>
      </w:r>
      <w:r w:rsidRPr="00F10F5D">
        <w:rPr>
          <w:i/>
          <w:iCs/>
          <w:noProof/>
          <w:sz w:val="22"/>
          <w:szCs w:val="22"/>
        </w:rPr>
        <w:t>Diagnostic and Therapeutic Management of Helicobacter pylori Infection in Primary Care : Perspective of Application in France and Narrative Review of the Literature</w:t>
      </w:r>
      <w:r w:rsidRPr="00F10F5D">
        <w:rPr>
          <w:noProof/>
          <w:sz w:val="22"/>
          <w:szCs w:val="22"/>
        </w:rPr>
        <w:t>.</w:t>
      </w:r>
    </w:p>
    <w:p w14:paraId="23D1905C"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Ghanad, A. (2023). </w:t>
      </w:r>
      <w:r w:rsidRPr="00F10F5D">
        <w:rPr>
          <w:i/>
          <w:iCs/>
          <w:noProof/>
          <w:sz w:val="22"/>
          <w:szCs w:val="22"/>
        </w:rPr>
        <w:t>An Overview of Quantitative Research Methods</w:t>
      </w:r>
      <w:r w:rsidRPr="00F10F5D">
        <w:rPr>
          <w:noProof/>
          <w:sz w:val="22"/>
          <w:szCs w:val="22"/>
        </w:rPr>
        <w:t xml:space="preserve">. </w:t>
      </w:r>
      <w:r w:rsidRPr="00F10F5D">
        <w:rPr>
          <w:i/>
          <w:iCs/>
          <w:noProof/>
          <w:sz w:val="22"/>
          <w:szCs w:val="22"/>
        </w:rPr>
        <w:t>06</w:t>
      </w:r>
      <w:r w:rsidRPr="00F10F5D">
        <w:rPr>
          <w:noProof/>
          <w:sz w:val="22"/>
          <w:szCs w:val="22"/>
        </w:rPr>
        <w:t>(08), 3794–3803. https://doi.org/10.47191/ijmra/v6-i8-52</w:t>
      </w:r>
    </w:p>
    <w:p w14:paraId="399BE5ED"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Harahap, A. S., Ham, M. F., Kurniawan, A., Charles, S., Wijovi, F., &amp; Sukrisman, L. (2024). Fifteen Years of Non-Hodgkin Lymphoma in an Indonesian National Referral Hospital: Epidemiologic Trends and Diagnostic Challenges. </w:t>
      </w:r>
      <w:r w:rsidRPr="00F10F5D">
        <w:rPr>
          <w:i/>
          <w:iCs/>
          <w:noProof/>
          <w:sz w:val="22"/>
          <w:szCs w:val="22"/>
        </w:rPr>
        <w:t>JCO Global Oncology</w:t>
      </w:r>
      <w:r w:rsidRPr="00F10F5D">
        <w:rPr>
          <w:noProof/>
          <w:sz w:val="22"/>
          <w:szCs w:val="22"/>
        </w:rPr>
        <w:t xml:space="preserve">, </w:t>
      </w:r>
      <w:r w:rsidRPr="00F10F5D">
        <w:rPr>
          <w:i/>
          <w:iCs/>
          <w:noProof/>
          <w:sz w:val="22"/>
          <w:szCs w:val="22"/>
        </w:rPr>
        <w:t>10</w:t>
      </w:r>
      <w:r w:rsidRPr="00F10F5D">
        <w:rPr>
          <w:noProof/>
          <w:sz w:val="22"/>
          <w:szCs w:val="22"/>
        </w:rPr>
        <w:t>, 1–10. https://doi.org/10.1200/go-24-00346</w:t>
      </w:r>
    </w:p>
    <w:p w14:paraId="2CD07A08"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Hegde, M., Daimary, U. D., Girisa, S., Kumar, A., &amp; Kunnumakkara, A. B. (2022). </w:t>
      </w:r>
      <w:r w:rsidRPr="00F10F5D">
        <w:rPr>
          <w:i/>
          <w:iCs/>
          <w:noProof/>
          <w:sz w:val="22"/>
          <w:szCs w:val="22"/>
        </w:rPr>
        <w:t>Minireview Tumor cell anabolism and host tissue catabolism-energetic inefficiency during cancer cachexia</w:t>
      </w:r>
      <w:r w:rsidRPr="00F10F5D">
        <w:rPr>
          <w:noProof/>
          <w:sz w:val="22"/>
          <w:szCs w:val="22"/>
        </w:rPr>
        <w:t>. 713–733. https://doi.org/10.1177/15353702221087962</w:t>
      </w:r>
    </w:p>
    <w:p w14:paraId="54E662F1"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Hidayat, A., Purwani, L. E., &amp; Nugrohowati, N. (2020). </w:t>
      </w:r>
      <w:r w:rsidRPr="00F10F5D">
        <w:rPr>
          <w:i/>
          <w:iCs/>
          <w:noProof/>
          <w:sz w:val="22"/>
          <w:szCs w:val="22"/>
        </w:rPr>
        <w:t xml:space="preserve">STATUS GIZI PASIEN KANKER PAYUDARA STADIUM II </w:t>
      </w:r>
      <w:r w:rsidRPr="00F10F5D">
        <w:rPr>
          <w:i/>
          <w:iCs/>
          <w:noProof/>
          <w:sz w:val="22"/>
          <w:szCs w:val="22"/>
        </w:rPr>
        <w:lastRenderedPageBreak/>
        <w:t>DAN III DI RSUP FATMAWATI JAKARTA PADA TAHUN 2018-2019</w:t>
      </w:r>
      <w:r w:rsidRPr="00F10F5D">
        <w:rPr>
          <w:noProof/>
          <w:sz w:val="22"/>
          <w:szCs w:val="22"/>
        </w:rPr>
        <w:t xml:space="preserve">. </w:t>
      </w:r>
      <w:r w:rsidRPr="00F10F5D">
        <w:rPr>
          <w:i/>
          <w:iCs/>
          <w:noProof/>
          <w:sz w:val="22"/>
          <w:szCs w:val="22"/>
        </w:rPr>
        <w:t>15</w:t>
      </w:r>
      <w:r w:rsidRPr="00F10F5D">
        <w:rPr>
          <w:noProof/>
          <w:sz w:val="22"/>
          <w:szCs w:val="22"/>
        </w:rPr>
        <w:t>(2), 110–118.</w:t>
      </w:r>
    </w:p>
    <w:p w14:paraId="256E8FD1"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Islam, A. D. (2022). </w:t>
      </w:r>
      <w:r w:rsidRPr="00F10F5D">
        <w:rPr>
          <w:i/>
          <w:iCs/>
          <w:noProof/>
          <w:sz w:val="22"/>
          <w:szCs w:val="22"/>
        </w:rPr>
        <w:t>The Impact of Chemotherapy to Nutritional Status Based on Subjective Global Assessment ( SGA ) in Breast Cancer Patients ( Ca . Mamae )</w:t>
      </w:r>
      <w:r w:rsidRPr="00F10F5D">
        <w:rPr>
          <w:noProof/>
          <w:sz w:val="22"/>
          <w:szCs w:val="22"/>
        </w:rPr>
        <w:t xml:space="preserve">. </w:t>
      </w:r>
      <w:r w:rsidRPr="00F10F5D">
        <w:rPr>
          <w:i/>
          <w:iCs/>
          <w:noProof/>
          <w:sz w:val="22"/>
          <w:szCs w:val="22"/>
        </w:rPr>
        <w:t>2</w:t>
      </w:r>
      <w:r w:rsidRPr="00F10F5D">
        <w:rPr>
          <w:noProof/>
          <w:sz w:val="22"/>
          <w:szCs w:val="22"/>
        </w:rPr>
        <w:t>(1), 57–62.</w:t>
      </w:r>
    </w:p>
    <w:p w14:paraId="1D901DB8"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Jannah, S. M., &amp; Inayah, D. T. (2022). </w:t>
      </w:r>
      <w:r w:rsidRPr="00F10F5D">
        <w:rPr>
          <w:i/>
          <w:iCs/>
          <w:noProof/>
          <w:sz w:val="22"/>
          <w:szCs w:val="22"/>
        </w:rPr>
        <w:t>KELAYAKAN MEDIA PEMBELAJARAN E-LEARNING BERBASIS EDMODO UNTUK MATA PELAJARAN</w:t>
      </w:r>
      <w:r w:rsidRPr="00F10F5D">
        <w:rPr>
          <w:noProof/>
          <w:sz w:val="22"/>
          <w:szCs w:val="22"/>
        </w:rPr>
        <w:t xml:space="preserve">. </w:t>
      </w:r>
      <w:r w:rsidRPr="00F10F5D">
        <w:rPr>
          <w:i/>
          <w:iCs/>
          <w:noProof/>
          <w:sz w:val="22"/>
          <w:szCs w:val="22"/>
        </w:rPr>
        <w:t>8</w:t>
      </w:r>
      <w:r w:rsidRPr="00F10F5D">
        <w:rPr>
          <w:noProof/>
          <w:sz w:val="22"/>
          <w:szCs w:val="22"/>
        </w:rPr>
        <w:t>(1), 26–34.</w:t>
      </w:r>
    </w:p>
    <w:p w14:paraId="3CD0D8B0"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Lestari, P. (2023). </w:t>
      </w:r>
      <w:r w:rsidRPr="00F10F5D">
        <w:rPr>
          <w:i/>
          <w:iCs/>
          <w:noProof/>
          <w:sz w:val="22"/>
          <w:szCs w:val="22"/>
        </w:rPr>
        <w:t>CRITICAL MEDICAL AND SURGICAL Assessment of Nutritional Status Using SGA ( Subjective Global Assessment ) and MIS ( Malnutrition Inflammation Score ) Tools in Hemodialysis Patients</w:t>
      </w:r>
      <w:r w:rsidRPr="00F10F5D">
        <w:rPr>
          <w:noProof/>
          <w:sz w:val="22"/>
          <w:szCs w:val="22"/>
        </w:rPr>
        <w:t xml:space="preserve">. </w:t>
      </w:r>
      <w:r w:rsidRPr="00F10F5D">
        <w:rPr>
          <w:i/>
          <w:iCs/>
          <w:noProof/>
          <w:sz w:val="22"/>
          <w:szCs w:val="22"/>
        </w:rPr>
        <w:t>12</w:t>
      </w:r>
      <w:r w:rsidRPr="00F10F5D">
        <w:rPr>
          <w:noProof/>
          <w:sz w:val="22"/>
          <w:szCs w:val="22"/>
        </w:rPr>
        <w:t>(2), 33–38.</w:t>
      </w:r>
    </w:p>
    <w:p w14:paraId="33159E4C"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Lujuk, H., Sinaga, C. R., &amp; Erwina, W. (2023). </w:t>
      </w:r>
      <w:r w:rsidRPr="00F10F5D">
        <w:rPr>
          <w:i/>
          <w:iCs/>
          <w:noProof/>
          <w:sz w:val="22"/>
          <w:szCs w:val="22"/>
        </w:rPr>
        <w:t>Profil Farmakoepidemiologi Suplemen Penambah Darah dan Pengukuran Kualitas Hidup pada Ibu Hamil di UPT Puskesmas Kecamatan Kongbeng Kabupaten Kutai Timur</w:t>
      </w:r>
      <w:r w:rsidRPr="00F10F5D">
        <w:rPr>
          <w:noProof/>
          <w:sz w:val="22"/>
          <w:szCs w:val="22"/>
        </w:rPr>
        <w:t xml:space="preserve">. </w:t>
      </w:r>
      <w:r w:rsidRPr="00F10F5D">
        <w:rPr>
          <w:i/>
          <w:iCs/>
          <w:noProof/>
          <w:sz w:val="22"/>
          <w:szCs w:val="22"/>
        </w:rPr>
        <w:t>10</w:t>
      </w:r>
      <w:r w:rsidRPr="00F10F5D">
        <w:rPr>
          <w:noProof/>
          <w:sz w:val="22"/>
          <w:szCs w:val="22"/>
        </w:rPr>
        <w:t>(2), 170–176.</w:t>
      </w:r>
    </w:p>
    <w:p w14:paraId="5F669297"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Mancuso, S., Mattana, M., Santoro, M., Carlisi, M., Buscemi, S., &amp; Siragusa, S. (2022a). </w:t>
      </w:r>
      <w:r w:rsidRPr="00F10F5D">
        <w:rPr>
          <w:i/>
          <w:iCs/>
          <w:noProof/>
          <w:sz w:val="22"/>
          <w:szCs w:val="22"/>
        </w:rPr>
        <w:t xml:space="preserve">non </w:t>
      </w:r>
      <w:r w:rsidRPr="00F10F5D">
        <w:rPr>
          <w:rFonts w:ascii="Cambria Math" w:hAnsi="Cambria Math" w:cs="Cambria Math"/>
          <w:i/>
          <w:iCs/>
          <w:noProof/>
          <w:sz w:val="22"/>
          <w:szCs w:val="22"/>
        </w:rPr>
        <w:t>‐</w:t>
      </w:r>
      <w:r w:rsidRPr="00F10F5D">
        <w:rPr>
          <w:i/>
          <w:iCs/>
          <w:noProof/>
          <w:sz w:val="22"/>
          <w:szCs w:val="22"/>
        </w:rPr>
        <w:t xml:space="preserve"> Hodgkin lymphoma</w:t>
      </w:r>
      <w:r w:rsidRPr="00F10F5D">
        <w:rPr>
          <w:noProof/>
          <w:sz w:val="22"/>
          <w:szCs w:val="22"/>
        </w:rPr>
        <w:t xml:space="preserve">. </w:t>
      </w:r>
      <w:r w:rsidRPr="00F10F5D">
        <w:rPr>
          <w:i/>
          <w:iCs/>
          <w:noProof/>
          <w:sz w:val="22"/>
          <w:szCs w:val="22"/>
        </w:rPr>
        <w:t>November 2021</w:t>
      </w:r>
      <w:r w:rsidRPr="00F10F5D">
        <w:rPr>
          <w:noProof/>
          <w:sz w:val="22"/>
          <w:szCs w:val="22"/>
        </w:rPr>
        <w:t>, 320–331. https://doi.org/10.1002/hon.3002</w:t>
      </w:r>
    </w:p>
    <w:p w14:paraId="7D12818B"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Mancuso, S., Mattana, M., Santoro, M., Carlisi, M., Buscemi, S., &amp; Siragusa, S. (2022b). </w:t>
      </w:r>
      <w:r w:rsidRPr="00F10F5D">
        <w:rPr>
          <w:i/>
          <w:iCs/>
          <w:noProof/>
          <w:sz w:val="22"/>
          <w:szCs w:val="22"/>
        </w:rPr>
        <w:t xml:space="preserve">non </w:t>
      </w:r>
      <w:r w:rsidRPr="00F10F5D">
        <w:rPr>
          <w:rFonts w:ascii="Cambria Math" w:hAnsi="Cambria Math" w:cs="Cambria Math"/>
          <w:i/>
          <w:iCs/>
          <w:noProof/>
          <w:sz w:val="22"/>
          <w:szCs w:val="22"/>
        </w:rPr>
        <w:t>‐</w:t>
      </w:r>
      <w:r w:rsidRPr="00F10F5D">
        <w:rPr>
          <w:i/>
          <w:iCs/>
          <w:noProof/>
          <w:sz w:val="22"/>
          <w:szCs w:val="22"/>
        </w:rPr>
        <w:t xml:space="preserve"> Hodgkin lymphoma</w:t>
      </w:r>
      <w:r w:rsidRPr="00F10F5D">
        <w:rPr>
          <w:noProof/>
          <w:sz w:val="22"/>
          <w:szCs w:val="22"/>
        </w:rPr>
        <w:t xml:space="preserve">. </w:t>
      </w:r>
      <w:r w:rsidRPr="00F10F5D">
        <w:rPr>
          <w:i/>
          <w:iCs/>
          <w:noProof/>
          <w:sz w:val="22"/>
          <w:szCs w:val="22"/>
        </w:rPr>
        <w:t>February</w:t>
      </w:r>
      <w:r w:rsidRPr="00F10F5D">
        <w:rPr>
          <w:noProof/>
          <w:sz w:val="22"/>
          <w:szCs w:val="22"/>
        </w:rPr>
        <w:t>, 320–331. https://doi.org/10.1002/hon.3002</w:t>
      </w:r>
    </w:p>
    <w:p w14:paraId="4A00B7C4"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Muscaritoli, M., Arends, J., Bachmann, P., Baracos, V., Barthelemy, N., Bertz, H., Bozzetti, F., Hütterer, E., Isenring, E., Kaasa, S., Krznaric, Z., Laird, B., Larsson, M., Laviano, A., Mühlebach, S., Oldervoll, L., Ravasco, P., Solheim, T. S., Strasser, F., … Bischoff, S. C. (2021). ESPEN Guideline ESPEN practical guideline : Clinical Nutrition in cancer. </w:t>
      </w:r>
      <w:r w:rsidRPr="00F10F5D">
        <w:rPr>
          <w:i/>
          <w:iCs/>
          <w:noProof/>
          <w:sz w:val="22"/>
          <w:szCs w:val="22"/>
        </w:rPr>
        <w:t>Clinical Nutrition</w:t>
      </w:r>
      <w:r w:rsidRPr="00F10F5D">
        <w:rPr>
          <w:noProof/>
          <w:sz w:val="22"/>
          <w:szCs w:val="22"/>
        </w:rPr>
        <w:t xml:space="preserve">, </w:t>
      </w:r>
      <w:r w:rsidRPr="00F10F5D">
        <w:rPr>
          <w:i/>
          <w:iCs/>
          <w:noProof/>
          <w:sz w:val="22"/>
          <w:szCs w:val="22"/>
        </w:rPr>
        <w:t>40</w:t>
      </w:r>
      <w:r w:rsidRPr="00F10F5D">
        <w:rPr>
          <w:noProof/>
          <w:sz w:val="22"/>
          <w:szCs w:val="22"/>
        </w:rPr>
        <w:t>(5), 2898–2913. https://doi.org/10.1016/j.clnu.2021.02.005</w:t>
      </w:r>
    </w:p>
    <w:p w14:paraId="1896C73A"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Nasution, H. N., Ashariati, A., Kedokteran, F., Muhammadiyah, U., &amp; Airlangga-surabaya, F. K. U. (2021). </w:t>
      </w:r>
      <w:r w:rsidRPr="00F10F5D">
        <w:rPr>
          <w:i/>
          <w:iCs/>
          <w:noProof/>
          <w:sz w:val="22"/>
          <w:szCs w:val="22"/>
        </w:rPr>
        <w:t>Kaheksia kanker dan tatalaksana nutrisi pada penderita kanker 1</w:t>
      </w:r>
      <w:r w:rsidRPr="00F10F5D">
        <w:rPr>
          <w:noProof/>
          <w:sz w:val="22"/>
          <w:szCs w:val="22"/>
        </w:rPr>
        <w:t xml:space="preserve">. </w:t>
      </w:r>
      <w:r w:rsidRPr="00F10F5D">
        <w:rPr>
          <w:i/>
          <w:iCs/>
          <w:noProof/>
          <w:sz w:val="22"/>
          <w:szCs w:val="22"/>
        </w:rPr>
        <w:t>21</w:t>
      </w:r>
      <w:r w:rsidRPr="00F10F5D">
        <w:rPr>
          <w:noProof/>
          <w:sz w:val="22"/>
          <w:szCs w:val="22"/>
        </w:rPr>
        <w:t>(2), 189–196.</w:t>
      </w:r>
    </w:p>
    <w:p w14:paraId="6B65BA8F"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Nutbeam, D. (2021). </w:t>
      </w:r>
      <w:r w:rsidRPr="00F10F5D">
        <w:rPr>
          <w:i/>
          <w:iCs/>
          <w:noProof/>
          <w:sz w:val="22"/>
          <w:szCs w:val="22"/>
        </w:rPr>
        <w:t>Health Promotion Glossary 2021</w:t>
      </w:r>
      <w:r w:rsidRPr="00F10F5D">
        <w:rPr>
          <w:noProof/>
          <w:sz w:val="22"/>
          <w:szCs w:val="22"/>
        </w:rPr>
        <w:t xml:space="preserve">. </w:t>
      </w:r>
      <w:r w:rsidRPr="00F10F5D">
        <w:rPr>
          <w:i/>
          <w:iCs/>
          <w:noProof/>
          <w:sz w:val="22"/>
          <w:szCs w:val="22"/>
        </w:rPr>
        <w:t>April</w:t>
      </w:r>
      <w:r w:rsidRPr="00F10F5D">
        <w:rPr>
          <w:noProof/>
          <w:sz w:val="22"/>
          <w:szCs w:val="22"/>
        </w:rPr>
        <w:t>, 1578–1598. https://doi.org/10.1093/heapro/daaa157</w:t>
      </w:r>
    </w:p>
    <w:p w14:paraId="38B2EC85"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lastRenderedPageBreak/>
        <w:t xml:space="preserve">Pan, T., Zhang, J., Wang, X., &amp; Song, Y. (2025). Global burden and trends of hematologic malignancies based on Global Cancer Observatory 2022 and Global Burden of Disease 2021. </w:t>
      </w:r>
      <w:r w:rsidRPr="00F10F5D">
        <w:rPr>
          <w:i/>
          <w:iCs/>
          <w:noProof/>
          <w:sz w:val="22"/>
          <w:szCs w:val="22"/>
        </w:rPr>
        <w:t>Experimental Hematology and Oncology</w:t>
      </w:r>
      <w:r w:rsidRPr="00F10F5D">
        <w:rPr>
          <w:noProof/>
          <w:sz w:val="22"/>
          <w:szCs w:val="22"/>
        </w:rPr>
        <w:t xml:space="preserve">, </w:t>
      </w:r>
      <w:r w:rsidRPr="00F10F5D">
        <w:rPr>
          <w:i/>
          <w:iCs/>
          <w:noProof/>
          <w:sz w:val="22"/>
          <w:szCs w:val="22"/>
        </w:rPr>
        <w:t>14</w:t>
      </w:r>
      <w:r w:rsidRPr="00F10F5D">
        <w:rPr>
          <w:noProof/>
          <w:sz w:val="22"/>
          <w:szCs w:val="22"/>
        </w:rPr>
        <w:t>(1), 1–25. https://doi.org/10.1186/s40164-025-00684-x</w:t>
      </w:r>
    </w:p>
    <w:p w14:paraId="43288BCC"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Pang, Y., Lu, T., &amp; Xu-monette, Z. Y. (2023). </w:t>
      </w:r>
      <w:r w:rsidRPr="00F10F5D">
        <w:rPr>
          <w:i/>
          <w:iCs/>
          <w:noProof/>
          <w:sz w:val="22"/>
          <w:szCs w:val="22"/>
        </w:rPr>
        <w:t>Metabolic Reprogramming and Potential Therapeutic Targets in Lymphoma</w:t>
      </w:r>
      <w:r w:rsidRPr="00F10F5D">
        <w:rPr>
          <w:noProof/>
          <w:sz w:val="22"/>
          <w:szCs w:val="22"/>
        </w:rPr>
        <w:t>.</w:t>
      </w:r>
    </w:p>
    <w:p w14:paraId="0587F704"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Purcell, S. A., &amp; Laviano, A. (2020). </w:t>
      </w:r>
      <w:r w:rsidRPr="00F10F5D">
        <w:rPr>
          <w:i/>
          <w:iCs/>
          <w:noProof/>
          <w:sz w:val="22"/>
          <w:szCs w:val="22"/>
        </w:rPr>
        <w:t>Nutrition interventions to treat low muscle mass in cancer</w:t>
      </w:r>
      <w:r w:rsidRPr="00F10F5D">
        <w:rPr>
          <w:noProof/>
          <w:sz w:val="22"/>
          <w:szCs w:val="22"/>
        </w:rPr>
        <w:t xml:space="preserve">. </w:t>
      </w:r>
      <w:r w:rsidRPr="00F10F5D">
        <w:rPr>
          <w:i/>
          <w:iCs/>
          <w:noProof/>
          <w:sz w:val="22"/>
          <w:szCs w:val="22"/>
        </w:rPr>
        <w:t>January</w:t>
      </w:r>
      <w:r w:rsidRPr="00F10F5D">
        <w:rPr>
          <w:noProof/>
          <w:sz w:val="22"/>
          <w:szCs w:val="22"/>
        </w:rPr>
        <w:t>, 366–380. https://doi.org/10.1002/jcsm.12525</w:t>
      </w:r>
    </w:p>
    <w:p w14:paraId="4C1C0921"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Report, C., &amp; Care, N. (2025). </w:t>
      </w:r>
      <w:r w:rsidRPr="00F10F5D">
        <w:rPr>
          <w:i/>
          <w:iCs/>
          <w:noProof/>
          <w:sz w:val="22"/>
          <w:szCs w:val="22"/>
        </w:rPr>
        <w:t>Laporan Kasus : Proses Asuhan Gizi Terstandar pada Pasien Miastenia Gravis dengan Disfagia dan Malnutrisi</w:t>
      </w:r>
      <w:r w:rsidRPr="00F10F5D">
        <w:rPr>
          <w:noProof/>
          <w:sz w:val="22"/>
          <w:szCs w:val="22"/>
        </w:rPr>
        <w:t xml:space="preserve">. </w:t>
      </w:r>
      <w:r w:rsidRPr="00F10F5D">
        <w:rPr>
          <w:i/>
          <w:iCs/>
          <w:noProof/>
          <w:sz w:val="22"/>
          <w:szCs w:val="22"/>
        </w:rPr>
        <w:t>4</w:t>
      </w:r>
      <w:r w:rsidRPr="00F10F5D">
        <w:rPr>
          <w:noProof/>
          <w:sz w:val="22"/>
          <w:szCs w:val="22"/>
        </w:rPr>
        <w:t>(4), 267–279.</w:t>
      </w:r>
    </w:p>
    <w:p w14:paraId="6A970510"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Rusyda, A. L., Masyarakat, G., Manusia, F. E., Tinggi, E., Hodgkin, L., &amp; Tinggi, P. (2022). </w:t>
      </w:r>
      <w:r w:rsidRPr="00F10F5D">
        <w:rPr>
          <w:i/>
          <w:iCs/>
          <w:noProof/>
          <w:sz w:val="22"/>
          <w:szCs w:val="22"/>
        </w:rPr>
        <w:t>Laporan kasus</w:t>
      </w:r>
      <w:r w:rsidRPr="00F10F5D">
        <w:rPr>
          <w:noProof/>
          <w:sz w:val="22"/>
          <w:szCs w:val="22"/>
        </w:rPr>
        <w:t xml:space="preserve">. </w:t>
      </w:r>
      <w:r w:rsidRPr="00F10F5D">
        <w:rPr>
          <w:i/>
          <w:iCs/>
          <w:noProof/>
          <w:sz w:val="22"/>
          <w:szCs w:val="22"/>
        </w:rPr>
        <w:t>7</w:t>
      </w:r>
      <w:r w:rsidRPr="00F10F5D">
        <w:rPr>
          <w:noProof/>
          <w:sz w:val="22"/>
          <w:szCs w:val="22"/>
        </w:rPr>
        <w:t>(1), 43–52.</w:t>
      </w:r>
    </w:p>
    <w:p w14:paraId="3EAA1AFE"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Sánchez-diestro, L. E., Macias-montero, R., Ramalho-galhanas, A. I., Aguiar-frias, A. M., Paniagua-vivas, M. S., &amp; Guerrero-martín, J. (2025). </w:t>
      </w:r>
      <w:r w:rsidRPr="00F10F5D">
        <w:rPr>
          <w:i/>
          <w:iCs/>
          <w:noProof/>
          <w:sz w:val="22"/>
          <w:szCs w:val="22"/>
        </w:rPr>
        <w:t>Nutritional Status Assessment Using the Patient-Generated Subjective Global Assessment ( PG-SGA ) in Individuals with Colorectal Cancer Undergoing Chemotherapy Regimens</w:t>
      </w:r>
      <w:r w:rsidRPr="00F10F5D">
        <w:rPr>
          <w:noProof/>
          <w:sz w:val="22"/>
          <w:szCs w:val="22"/>
        </w:rPr>
        <w:t>. 1–13.</w:t>
      </w:r>
    </w:p>
    <w:p w14:paraId="1EDA567F"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Setiawan, T., Sari, I. N., Wijaya, Y. T., Julianto, N. M., Muhammad, J. A., Lee, H., Chae, J. H., &amp; Kwon, H. Y. (2023). Cancer cachexia : molecular mechanisms and treatment strategies. </w:t>
      </w:r>
      <w:r w:rsidRPr="00F10F5D">
        <w:rPr>
          <w:i/>
          <w:iCs/>
          <w:noProof/>
          <w:sz w:val="22"/>
          <w:szCs w:val="22"/>
        </w:rPr>
        <w:t>Journal of Hematology &amp; Oncology</w:t>
      </w:r>
      <w:r w:rsidRPr="00F10F5D">
        <w:rPr>
          <w:noProof/>
          <w:sz w:val="22"/>
          <w:szCs w:val="22"/>
        </w:rPr>
        <w:t>, 1–26. https://doi.org/10.1186/s13045-023-01454-0</w:t>
      </w:r>
    </w:p>
    <w:p w14:paraId="3934FFE8" w14:textId="77777777" w:rsidR="00D922ED" w:rsidRPr="00D22FF3" w:rsidRDefault="00D922ED" w:rsidP="00E71F9A">
      <w:pPr>
        <w:widowControl w:val="0"/>
        <w:autoSpaceDE w:val="0"/>
        <w:autoSpaceDN w:val="0"/>
        <w:adjustRightInd w:val="0"/>
        <w:ind w:left="480" w:hanging="480"/>
        <w:jc w:val="both"/>
        <w:rPr>
          <w:noProof/>
          <w:sz w:val="20"/>
          <w:szCs w:val="22"/>
        </w:rPr>
      </w:pPr>
      <w:r w:rsidRPr="00D22FF3">
        <w:rPr>
          <w:noProof/>
          <w:sz w:val="20"/>
          <w:szCs w:val="22"/>
        </w:rPr>
        <w:t xml:space="preserve">Shantini, D., Mohan, R., Jawahir, S., Manual, A., Elina, N., Mutalib, A., Nurain, S., Noh, M., Rahim, I. A., Hamid, J. A., &amp; Nordin, A. A. (2025). </w:t>
      </w:r>
      <w:r w:rsidRPr="00D22FF3">
        <w:rPr>
          <w:i/>
          <w:iCs/>
          <w:noProof/>
          <w:sz w:val="20"/>
          <w:szCs w:val="22"/>
        </w:rPr>
        <w:t>Gender differences in health-seeking behaviour : insights from the National Health and Morbidity Survey 2019</w:t>
      </w:r>
      <w:r w:rsidRPr="00D22FF3">
        <w:rPr>
          <w:noProof/>
          <w:sz w:val="20"/>
          <w:szCs w:val="22"/>
        </w:rPr>
        <w:t xml:space="preserve">. </w:t>
      </w:r>
      <w:r w:rsidRPr="00D22FF3">
        <w:rPr>
          <w:i/>
          <w:iCs/>
          <w:noProof/>
          <w:sz w:val="20"/>
          <w:szCs w:val="22"/>
        </w:rPr>
        <w:t>0</w:t>
      </w:r>
      <w:r w:rsidRPr="00D22FF3">
        <w:rPr>
          <w:noProof/>
          <w:sz w:val="20"/>
          <w:szCs w:val="22"/>
        </w:rPr>
        <w:t>.</w:t>
      </w:r>
    </w:p>
    <w:p w14:paraId="414A42D8"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Subhaktiyasa, P. G., Ayu, S., Candrawati, K., Sumaryani, N. P., &amp; Sunita, W. (2025). </w:t>
      </w:r>
      <w:r w:rsidRPr="00F10F5D">
        <w:rPr>
          <w:i/>
          <w:iCs/>
          <w:noProof/>
          <w:sz w:val="22"/>
          <w:szCs w:val="22"/>
        </w:rPr>
        <w:t>Emasains Emasains</w:t>
      </w:r>
      <w:r w:rsidRPr="00F10F5D">
        <w:rPr>
          <w:noProof/>
          <w:sz w:val="22"/>
          <w:szCs w:val="22"/>
        </w:rPr>
        <w:t>. 96–104.</w:t>
      </w:r>
    </w:p>
    <w:p w14:paraId="58F330F5"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Supiyadnya, I. G. N., Rinayanti, N. M., Rowa, S. S., &amp; Raul, S. (2022). </w:t>
      </w:r>
      <w:r w:rsidRPr="00F10F5D">
        <w:rPr>
          <w:i/>
          <w:iCs/>
          <w:noProof/>
          <w:sz w:val="22"/>
          <w:szCs w:val="22"/>
        </w:rPr>
        <w:t>Studi Kasus Penatalaksanaan Gizi Pada Pasien Anak Dengan Diagnosa Hiperleukositosis , ec Susp Leukemia dd limfoma</w:t>
      </w:r>
      <w:r w:rsidRPr="00F10F5D">
        <w:rPr>
          <w:noProof/>
          <w:sz w:val="22"/>
          <w:szCs w:val="22"/>
        </w:rPr>
        <w:t xml:space="preserve">. </w:t>
      </w:r>
      <w:r w:rsidRPr="00F10F5D">
        <w:rPr>
          <w:i/>
          <w:iCs/>
          <w:noProof/>
          <w:sz w:val="22"/>
          <w:szCs w:val="22"/>
        </w:rPr>
        <w:t>14</w:t>
      </w:r>
      <w:r w:rsidRPr="00F10F5D">
        <w:rPr>
          <w:noProof/>
          <w:sz w:val="22"/>
          <w:szCs w:val="22"/>
        </w:rPr>
        <w:t>(4), 281–289.</w:t>
      </w:r>
    </w:p>
    <w:p w14:paraId="04AA14B4"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Susianti, O. M. (2024). </w:t>
      </w:r>
      <w:r w:rsidRPr="00F10F5D">
        <w:rPr>
          <w:i/>
          <w:iCs/>
          <w:noProof/>
          <w:sz w:val="22"/>
          <w:szCs w:val="22"/>
        </w:rPr>
        <w:t xml:space="preserve">Perumusan Variabel </w:t>
      </w:r>
      <w:r w:rsidRPr="00F10F5D">
        <w:rPr>
          <w:i/>
          <w:iCs/>
          <w:noProof/>
          <w:sz w:val="22"/>
          <w:szCs w:val="22"/>
        </w:rPr>
        <w:lastRenderedPageBreak/>
        <w:t>Dan Indikator Dalam Penelitian Kuantitatif Kependidikan</w:t>
      </w:r>
      <w:r w:rsidRPr="00F10F5D">
        <w:rPr>
          <w:noProof/>
          <w:sz w:val="22"/>
          <w:szCs w:val="22"/>
        </w:rPr>
        <w:t xml:space="preserve">. </w:t>
      </w:r>
      <w:r w:rsidRPr="00F10F5D">
        <w:rPr>
          <w:i/>
          <w:iCs/>
          <w:noProof/>
          <w:sz w:val="22"/>
          <w:szCs w:val="22"/>
        </w:rPr>
        <w:t>9</w:t>
      </w:r>
      <w:r w:rsidRPr="00F10F5D">
        <w:rPr>
          <w:noProof/>
          <w:sz w:val="22"/>
          <w:szCs w:val="22"/>
        </w:rPr>
        <w:t>, 18–30.</w:t>
      </w:r>
    </w:p>
    <w:p w14:paraId="0BE8EDDF" w14:textId="77777777" w:rsidR="00D922E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Tadjoedin, H. (2024). </w:t>
      </w:r>
      <w:r w:rsidRPr="00F10F5D">
        <w:rPr>
          <w:i/>
          <w:iCs/>
          <w:noProof/>
          <w:sz w:val="22"/>
          <w:szCs w:val="22"/>
        </w:rPr>
        <w:t>Adult Hodgkin ’ s Lymphoma in Indonesian National Cancer Center Hospital : An Observational Study</w:t>
      </w:r>
      <w:r w:rsidRPr="00F10F5D">
        <w:rPr>
          <w:noProof/>
          <w:sz w:val="22"/>
          <w:szCs w:val="22"/>
        </w:rPr>
        <w:t xml:space="preserve">. </w:t>
      </w:r>
      <w:r w:rsidRPr="00F10F5D">
        <w:rPr>
          <w:i/>
          <w:iCs/>
          <w:noProof/>
          <w:sz w:val="22"/>
          <w:szCs w:val="22"/>
        </w:rPr>
        <w:t>January 2017</w:t>
      </w:r>
      <w:r w:rsidRPr="00F10F5D">
        <w:rPr>
          <w:noProof/>
          <w:sz w:val="22"/>
          <w:szCs w:val="22"/>
        </w:rPr>
        <w:t>, 466–470.</w:t>
      </w:r>
    </w:p>
    <w:p w14:paraId="01FA4B7F"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Tang, S., Cao, J., Jiang, D., Zhu, L., Luo, Z., Shan, S., Zhou, J., Ying, J., Wu, J., Song, P., &amp; Li, W. (2025). Global, regional and national temporal trends in incidence and mortality of non-Hodgkin lymphoma from 1992 to 2021: an age-period-cohort analysis. </w:t>
      </w:r>
      <w:r w:rsidRPr="00F10F5D">
        <w:rPr>
          <w:i/>
          <w:iCs/>
          <w:noProof/>
          <w:sz w:val="22"/>
          <w:szCs w:val="22"/>
        </w:rPr>
        <w:t>Annals of Hematology</w:t>
      </w:r>
      <w:r w:rsidRPr="00F10F5D">
        <w:rPr>
          <w:noProof/>
          <w:sz w:val="22"/>
          <w:szCs w:val="22"/>
        </w:rPr>
        <w:t xml:space="preserve">, </w:t>
      </w:r>
      <w:r w:rsidRPr="00F10F5D">
        <w:rPr>
          <w:i/>
          <w:iCs/>
          <w:noProof/>
          <w:sz w:val="22"/>
          <w:szCs w:val="22"/>
        </w:rPr>
        <w:t>104</w:t>
      </w:r>
      <w:r w:rsidRPr="00F10F5D">
        <w:rPr>
          <w:noProof/>
          <w:sz w:val="22"/>
          <w:szCs w:val="22"/>
        </w:rPr>
        <w:t>(3), 1679–1696. https://doi.org/10.1007/s00277-025-06261-w</w:t>
      </w:r>
    </w:p>
    <w:p w14:paraId="7A2F058C"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T</w:t>
      </w:r>
      <w:r w:rsidRPr="00D22FF3">
        <w:rPr>
          <w:noProof/>
          <w:sz w:val="20"/>
          <w:szCs w:val="22"/>
        </w:rPr>
        <w:t xml:space="preserve">ang, Y., &amp; Deng, N. (2020). </w:t>
      </w:r>
      <w:r w:rsidRPr="00D22FF3">
        <w:rPr>
          <w:i/>
          <w:iCs/>
          <w:noProof/>
          <w:sz w:val="20"/>
          <w:szCs w:val="22"/>
        </w:rPr>
        <w:t xml:space="preserve">RETRACTED: </w:t>
      </w:r>
      <w:r w:rsidRPr="00F10F5D">
        <w:rPr>
          <w:i/>
          <w:iCs/>
          <w:noProof/>
          <w:sz w:val="22"/>
          <w:szCs w:val="22"/>
        </w:rPr>
        <w:t>The Design, Characterizations, and Tumor Angiogenesis Inhibition of a Multi-Epitope Peptibody With bFGF/VEGFA</w:t>
      </w:r>
      <w:r w:rsidRPr="00F10F5D">
        <w:rPr>
          <w:noProof/>
          <w:sz w:val="22"/>
          <w:szCs w:val="22"/>
        </w:rPr>
        <w:t xml:space="preserve">. </w:t>
      </w:r>
      <w:r w:rsidRPr="00F10F5D">
        <w:rPr>
          <w:i/>
          <w:iCs/>
          <w:noProof/>
          <w:sz w:val="22"/>
          <w:szCs w:val="22"/>
        </w:rPr>
        <w:t>10</w:t>
      </w:r>
      <w:r w:rsidRPr="00F10F5D">
        <w:rPr>
          <w:noProof/>
          <w:sz w:val="22"/>
          <w:szCs w:val="22"/>
        </w:rPr>
        <w:t>(July). https://doi.org/10.3389/fonc.2020.01190</w:t>
      </w:r>
    </w:p>
    <w:p w14:paraId="78F4D7D3"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Trianasari, N., Sari, P. K., &amp; Prasetio, A. (2025). </w:t>
      </w:r>
      <w:r w:rsidRPr="00F10F5D">
        <w:rPr>
          <w:i/>
          <w:iCs/>
          <w:noProof/>
          <w:sz w:val="22"/>
          <w:szCs w:val="22"/>
        </w:rPr>
        <w:t>Peningkatan Kualitas Penelitian di Bidang Kesehatan Melalui Pelatihan Penentuan Teknik Sampling dan Besar Sampel di STFI Bandung</w:t>
      </w:r>
      <w:r w:rsidRPr="00F10F5D">
        <w:rPr>
          <w:noProof/>
          <w:sz w:val="22"/>
          <w:szCs w:val="22"/>
        </w:rPr>
        <w:t xml:space="preserve">. </w:t>
      </w:r>
      <w:r w:rsidRPr="00F10F5D">
        <w:rPr>
          <w:i/>
          <w:iCs/>
          <w:noProof/>
          <w:sz w:val="22"/>
          <w:szCs w:val="22"/>
        </w:rPr>
        <w:t>5</w:t>
      </w:r>
      <w:r w:rsidRPr="00F10F5D">
        <w:rPr>
          <w:noProof/>
          <w:sz w:val="22"/>
          <w:szCs w:val="22"/>
        </w:rPr>
        <w:t>(1). https://doi.org/10.59818/jpm.v5i2.1152</w:t>
      </w:r>
    </w:p>
    <w:p w14:paraId="6408B642"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Tyas, F., As’ad, S., Safitri, A., Bamahry, A., &amp; Access, O. (2020). Publisher: Faculty of Medicine Universitas Muslim Indonesia 66. </w:t>
      </w:r>
      <w:r w:rsidRPr="00F10F5D">
        <w:rPr>
          <w:i/>
          <w:iCs/>
          <w:noProof/>
          <w:sz w:val="22"/>
          <w:szCs w:val="22"/>
        </w:rPr>
        <w:t>Green Medical Journal</w:t>
      </w:r>
      <w:r w:rsidRPr="00F10F5D">
        <w:rPr>
          <w:noProof/>
          <w:sz w:val="22"/>
          <w:szCs w:val="22"/>
        </w:rPr>
        <w:t xml:space="preserve">, </w:t>
      </w:r>
      <w:r w:rsidRPr="00F10F5D">
        <w:rPr>
          <w:i/>
          <w:iCs/>
          <w:noProof/>
          <w:sz w:val="22"/>
          <w:szCs w:val="22"/>
        </w:rPr>
        <w:t>2</w:t>
      </w:r>
      <w:r w:rsidRPr="00F10F5D">
        <w:rPr>
          <w:noProof/>
          <w:sz w:val="22"/>
          <w:szCs w:val="22"/>
        </w:rPr>
        <w:t>(2), 2686–6668.</w:t>
      </w:r>
    </w:p>
    <w:p w14:paraId="3D44DE83"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WHO Classification of Tumours Editorial Board. (2024). </w:t>
      </w:r>
      <w:r w:rsidRPr="00F10F5D">
        <w:rPr>
          <w:i/>
          <w:iCs/>
          <w:noProof/>
          <w:sz w:val="22"/>
          <w:szCs w:val="22"/>
        </w:rPr>
        <w:t>Haematolymphoid Tumours</w:t>
      </w:r>
      <w:r w:rsidRPr="00F10F5D">
        <w:rPr>
          <w:noProof/>
          <w:sz w:val="22"/>
          <w:szCs w:val="22"/>
        </w:rPr>
        <w:t>. https://publications.iarc.fr/Book-And-Report-Series/Who-Classification-Of-Tumours/Paediatric-Tumours-2023</w:t>
      </w:r>
    </w:p>
    <w:p w14:paraId="16192DF2"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Wu, J., Meng, F., Ran, D., Song, Y., Dang, Y., Lai, F., Yang, L., Deng, M., Song, Y., &amp; Zhu, J. (2023). </w:t>
      </w:r>
      <w:r w:rsidRPr="00F10F5D">
        <w:rPr>
          <w:i/>
          <w:iCs/>
          <w:noProof/>
          <w:sz w:val="22"/>
          <w:szCs w:val="22"/>
        </w:rPr>
        <w:t>The Metabolism and Immune Environment in Diffuse Large B-Cell Lymphoma</w:t>
      </w:r>
      <w:r w:rsidRPr="00F10F5D">
        <w:rPr>
          <w:noProof/>
          <w:sz w:val="22"/>
          <w:szCs w:val="22"/>
        </w:rPr>
        <w:t>.</w:t>
      </w:r>
    </w:p>
    <w:p w14:paraId="5F045509" w14:textId="77777777" w:rsidR="00D922ED" w:rsidRPr="00F10F5D" w:rsidRDefault="00D922ED" w:rsidP="00E71F9A">
      <w:pPr>
        <w:widowControl w:val="0"/>
        <w:autoSpaceDE w:val="0"/>
        <w:autoSpaceDN w:val="0"/>
        <w:adjustRightInd w:val="0"/>
        <w:ind w:left="480" w:hanging="480"/>
        <w:jc w:val="both"/>
        <w:rPr>
          <w:noProof/>
          <w:sz w:val="22"/>
          <w:szCs w:val="22"/>
        </w:rPr>
      </w:pPr>
      <w:r w:rsidRPr="00F10F5D">
        <w:rPr>
          <w:noProof/>
          <w:sz w:val="22"/>
          <w:szCs w:val="22"/>
        </w:rPr>
        <w:t xml:space="preserve">Xu, Y. C., &amp; Vincent, J. I. (2020). </w:t>
      </w:r>
      <w:r w:rsidRPr="00F10F5D">
        <w:rPr>
          <w:i/>
          <w:iCs/>
          <w:noProof/>
          <w:sz w:val="22"/>
          <w:szCs w:val="22"/>
        </w:rPr>
        <w:t>Clinical measurement properties of malnutrition assessment tools for use with patients in hospitals : a systematic review</w:t>
      </w:r>
      <w:r w:rsidRPr="00F10F5D">
        <w:rPr>
          <w:noProof/>
          <w:sz w:val="22"/>
          <w:szCs w:val="22"/>
        </w:rPr>
        <w:t>. 1–13.</w:t>
      </w:r>
    </w:p>
    <w:p w14:paraId="649F3A2C" w14:textId="5CA3A39F" w:rsidR="00FB2495" w:rsidRPr="00F10F5D" w:rsidRDefault="00D922ED" w:rsidP="00D22FF3">
      <w:pPr>
        <w:widowControl w:val="0"/>
        <w:autoSpaceDE w:val="0"/>
        <w:autoSpaceDN w:val="0"/>
        <w:adjustRightInd w:val="0"/>
        <w:ind w:left="480" w:hanging="480"/>
        <w:jc w:val="both"/>
        <w:rPr>
          <w:sz w:val="22"/>
          <w:szCs w:val="22"/>
        </w:rPr>
      </w:pPr>
      <w:r w:rsidRPr="00F10F5D">
        <w:rPr>
          <w:noProof/>
          <w:sz w:val="22"/>
          <w:szCs w:val="22"/>
        </w:rPr>
        <w:t xml:space="preserve">Zheng, X., Zhang, X., Zhang, Y., Huang, F., </w:t>
      </w:r>
      <w:r w:rsidRPr="00D22FF3">
        <w:rPr>
          <w:noProof/>
          <w:sz w:val="20"/>
          <w:szCs w:val="22"/>
        </w:rPr>
        <w:t xml:space="preserve">Wang, Y., Gao, R., Li, Q., &amp; Liu, W. (2024). </w:t>
      </w:r>
      <w:r w:rsidRPr="00D22FF3">
        <w:rPr>
          <w:i/>
          <w:iCs/>
          <w:noProof/>
          <w:sz w:val="20"/>
          <w:szCs w:val="22"/>
        </w:rPr>
        <w:t xml:space="preserve">Association of frailty and malnutrition with overall survival in </w:t>
      </w:r>
      <w:r w:rsidRPr="00F10F5D">
        <w:rPr>
          <w:i/>
          <w:iCs/>
          <w:noProof/>
          <w:sz w:val="22"/>
          <w:szCs w:val="22"/>
        </w:rPr>
        <w:t>adults with gastrointestinal cancer : A prospective cohort study</w:t>
      </w:r>
      <w:r w:rsidRPr="00F10F5D">
        <w:rPr>
          <w:noProof/>
          <w:sz w:val="22"/>
          <w:szCs w:val="22"/>
        </w:rPr>
        <w:t>. 46–52.</w:t>
      </w:r>
      <w:r w:rsidR="00D22FF3">
        <w:rPr>
          <w:noProof/>
          <w:sz w:val="22"/>
          <w:szCs w:val="22"/>
        </w:rPr>
        <w:t xml:space="preserve"> </w:t>
      </w:r>
      <w:r w:rsidRPr="00F10F5D">
        <w:rPr>
          <w:b/>
          <w:bCs/>
          <w:sz w:val="22"/>
          <w:szCs w:val="22"/>
        </w:rPr>
        <w:fldChar w:fldCharType="end"/>
      </w:r>
      <w:bookmarkStart w:id="7" w:name="_GoBack"/>
      <w:bookmarkEnd w:id="7"/>
    </w:p>
    <w:sectPr w:rsidR="00FB2495" w:rsidRPr="00F10F5D">
      <w:type w:val="continuous"/>
      <w:pgSz w:w="11907" w:h="16839"/>
      <w:pgMar w:top="1134" w:right="1134" w:bottom="1134" w:left="1701" w:header="706" w:footer="706" w:gutter="0"/>
      <w:cols w:num="2" w:space="720" w:equalWidth="0">
        <w:col w:w="4176" w:space="720"/>
        <w:col w:w="4176"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A07246" w14:textId="77777777" w:rsidR="00E27520" w:rsidRDefault="00E27520">
      <w:r>
        <w:separator/>
      </w:r>
    </w:p>
  </w:endnote>
  <w:endnote w:type="continuationSeparator" w:id="0">
    <w:p w14:paraId="3AAC09AF" w14:textId="77777777" w:rsidR="00E27520" w:rsidRDefault="00E27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BBA0CA1-1AD0-492F-9E2B-7B669F3E02E0}"/>
    <w:embedItalic r:id="rId2" w:fontKey="{D3A3B26B-2593-45CF-9296-C06EBABFE972}"/>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embedBold r:id="rId3" w:fontKey="{297F9CBF-8EA3-4A38-A73B-CA648F1A9407}"/>
  </w:font>
  <w:font w:name="Cambria Math">
    <w:panose1 w:val="02040503050406030204"/>
    <w:charset w:val="00"/>
    <w:family w:val="roman"/>
    <w:pitch w:val="variable"/>
    <w:sig w:usb0="E00006FF" w:usb1="420024FF" w:usb2="02000000" w:usb3="00000000" w:csb0="0000019F" w:csb1="00000000"/>
    <w:embedRegular r:id="rId4" w:fontKey="{7473D4A9-EDB4-4F0F-B5D8-FE6035AB41F6}"/>
    <w:embedItalic r:id="rId5" w:fontKey="{FA680D87-95FA-48E3-9187-118DBFB3539B}"/>
  </w:font>
  <w:font w:name="Cambria">
    <w:panose1 w:val="02040503050406030204"/>
    <w:charset w:val="00"/>
    <w:family w:val="roman"/>
    <w:pitch w:val="variable"/>
    <w:sig w:usb0="E00006FF" w:usb1="420024FF" w:usb2="02000000" w:usb3="00000000" w:csb0="0000019F" w:csb1="00000000"/>
    <w:embedRegular r:id="rId6" w:fontKey="{DB7B6ED0-3998-48AC-9AD9-89AC6F658B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7237D" w14:textId="77777777" w:rsidR="0055649A" w:rsidRDefault="0055649A">
    <w:pPr>
      <w:pBdr>
        <w:top w:val="nil"/>
        <w:left w:val="nil"/>
        <w:bottom w:val="nil"/>
        <w:right w:val="nil"/>
        <w:between w:val="nil"/>
      </w:pBdr>
      <w:tabs>
        <w:tab w:val="center" w:pos="4680"/>
        <w:tab w:val="right" w:pos="9360"/>
      </w:tabs>
      <w:jc w:val="right"/>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D22FF3">
      <w:rPr>
        <w:rFonts w:eastAsia="Times New Roman"/>
        <w:noProof/>
        <w:color w:val="000000"/>
      </w:rPr>
      <w:t>104</w:t>
    </w:r>
    <w:r>
      <w:rPr>
        <w:rFonts w:eastAsia="Times New Roman"/>
        <w:color w:val="000000"/>
      </w:rPr>
      <w:fldChar w:fldCharType="end"/>
    </w:r>
  </w:p>
  <w:p w14:paraId="28694AAD" w14:textId="77777777" w:rsidR="0055649A" w:rsidRDefault="0055649A">
    <w:pPr>
      <w:pBdr>
        <w:top w:val="nil"/>
        <w:left w:val="nil"/>
        <w:bottom w:val="nil"/>
        <w:right w:val="nil"/>
        <w:between w:val="nil"/>
      </w:pBdr>
      <w:tabs>
        <w:tab w:val="center" w:pos="4680"/>
        <w:tab w:val="right" w:pos="9360"/>
      </w:tabs>
      <w:rPr>
        <w:rFonts w:eastAsia="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F6A474" w14:textId="77777777" w:rsidR="00E27520" w:rsidRDefault="00E27520">
      <w:r>
        <w:separator/>
      </w:r>
    </w:p>
  </w:footnote>
  <w:footnote w:type="continuationSeparator" w:id="0">
    <w:p w14:paraId="0AE52455" w14:textId="77777777" w:rsidR="00E27520" w:rsidRDefault="00E275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FD9D6" w14:textId="77777777" w:rsidR="0055649A" w:rsidRDefault="0055649A">
    <w:pPr>
      <w:pBdr>
        <w:top w:val="nil"/>
        <w:left w:val="nil"/>
        <w:bottom w:val="single" w:sz="8" w:space="1" w:color="000000"/>
        <w:right w:val="nil"/>
        <w:between w:val="nil"/>
      </w:pBdr>
      <w:tabs>
        <w:tab w:val="center" w:pos="4680"/>
        <w:tab w:val="right" w:pos="9360"/>
      </w:tabs>
      <w:rPr>
        <w:rFonts w:eastAsia="Times New Roman"/>
        <w:color w:val="000000"/>
        <w:sz w:val="22"/>
        <w:szCs w:val="22"/>
      </w:rPr>
    </w:pPr>
  </w:p>
  <w:p w14:paraId="3C94C8F9" w14:textId="77777777" w:rsidR="0055649A" w:rsidRDefault="0055649A">
    <w:pPr>
      <w:pBdr>
        <w:top w:val="nil"/>
        <w:left w:val="nil"/>
        <w:bottom w:val="single" w:sz="8" w:space="1" w:color="000000"/>
        <w:right w:val="nil"/>
        <w:between w:val="nil"/>
      </w:pBdr>
      <w:tabs>
        <w:tab w:val="center" w:pos="4680"/>
        <w:tab w:val="right" w:pos="9360"/>
      </w:tabs>
      <w:rPr>
        <w:rFonts w:eastAsia="Times New Roman"/>
        <w:color w:val="000000"/>
        <w:sz w:val="22"/>
        <w:szCs w:val="22"/>
      </w:rPr>
    </w:pPr>
    <w:r>
      <w:rPr>
        <w:rFonts w:eastAsia="Times New Roman"/>
        <w:color w:val="000000"/>
        <w:sz w:val="22"/>
        <w:szCs w:val="22"/>
      </w:rPr>
      <w:t xml:space="preserve">ISSN 2656-116(Print), ISSN 829-131x (Online) </w:t>
    </w:r>
    <w:r>
      <w:rPr>
        <w:rFonts w:eastAsia="Times New Roman"/>
        <w:color w:val="000000"/>
        <w:sz w:val="22"/>
        <w:szCs w:val="22"/>
      </w:rPr>
      <w:tab/>
    </w:r>
    <w:r>
      <w:rPr>
        <w:rFonts w:eastAsia="Times New Roman"/>
        <w:color w:val="000000"/>
        <w:sz w:val="22"/>
        <w:szCs w:val="22"/>
      </w:rPr>
      <w:tab/>
      <w:t xml:space="preserve">Jurnal Akademi Keperawatan Bunda Delima                                                                        </w:t>
    </w:r>
  </w:p>
  <w:p w14:paraId="32EED751" w14:textId="77777777" w:rsidR="0055649A" w:rsidRDefault="0055649A">
    <w:pPr>
      <w:pBdr>
        <w:top w:val="nil"/>
        <w:left w:val="nil"/>
        <w:bottom w:val="single" w:sz="8" w:space="1" w:color="000000"/>
        <w:right w:val="nil"/>
        <w:between w:val="nil"/>
      </w:pBdr>
      <w:tabs>
        <w:tab w:val="center" w:pos="4680"/>
        <w:tab w:val="right" w:pos="9360"/>
      </w:tabs>
      <w:jc w:val="center"/>
      <w:rPr>
        <w:rFonts w:eastAsia="Times New Roman"/>
        <w:color w:val="000000"/>
        <w:sz w:val="22"/>
        <w:szCs w:val="22"/>
      </w:rPr>
    </w:pPr>
    <w:r>
      <w:rPr>
        <w:rFonts w:eastAsia="Times New Roman"/>
        <w:color w:val="000000"/>
        <w:sz w:val="22"/>
        <w:szCs w:val="22"/>
      </w:rPr>
      <w:t xml:space="preserve">Vol.XX, No. X, (Bulan) XXXX, pp. xx – xx          </w:t>
    </w:r>
  </w:p>
  <w:p w14:paraId="0FC7169F" w14:textId="77777777" w:rsidR="0055649A" w:rsidRDefault="0055649A">
    <w:pPr>
      <w:pBdr>
        <w:top w:val="nil"/>
        <w:left w:val="nil"/>
        <w:bottom w:val="nil"/>
        <w:right w:val="nil"/>
        <w:between w:val="nil"/>
      </w:pBdr>
      <w:tabs>
        <w:tab w:val="center" w:pos="4680"/>
        <w:tab w:val="right" w:pos="9360"/>
      </w:tabs>
      <w:rPr>
        <w:rFonts w:eastAsia="Times New Roman"/>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E7AC3" w14:textId="77777777" w:rsidR="00920D56" w:rsidRDefault="00920D56" w:rsidP="00920D56">
    <w:pPr>
      <w:pBdr>
        <w:top w:val="nil"/>
        <w:left w:val="nil"/>
        <w:bottom w:val="single" w:sz="8" w:space="1" w:color="000000"/>
        <w:right w:val="nil"/>
        <w:between w:val="nil"/>
      </w:pBdr>
      <w:tabs>
        <w:tab w:val="center" w:pos="4680"/>
        <w:tab w:val="right" w:pos="9360"/>
        <w:tab w:val="right" w:pos="9000"/>
      </w:tabs>
      <w:rPr>
        <w:color w:val="000000"/>
        <w:sz w:val="22"/>
        <w:szCs w:val="22"/>
      </w:rPr>
    </w:pPr>
    <w:r>
      <w:rPr>
        <w:color w:val="000000"/>
        <w:sz w:val="22"/>
        <w:szCs w:val="22"/>
      </w:rPr>
      <w:t xml:space="preserve">ISSN 2656-116(Print), ISSN 829-131x (Online) </w:t>
    </w:r>
    <w:r>
      <w:rPr>
        <w:color w:val="000000"/>
        <w:sz w:val="22"/>
        <w:szCs w:val="22"/>
      </w:rPr>
      <w:tab/>
    </w:r>
    <w:r>
      <w:rPr>
        <w:color w:val="000000"/>
        <w:sz w:val="22"/>
        <w:szCs w:val="22"/>
      </w:rPr>
      <w:tab/>
      <w:t xml:space="preserve">Jurnal Keperawatan Bunda Delima                                                                        </w:t>
    </w:r>
  </w:p>
  <w:p w14:paraId="1DC85C37" w14:textId="28532220" w:rsidR="00920D56" w:rsidRPr="00B73CE3" w:rsidRDefault="00920D56" w:rsidP="00920D56">
    <w:pPr>
      <w:pBdr>
        <w:top w:val="nil"/>
        <w:left w:val="nil"/>
        <w:bottom w:val="single" w:sz="8" w:space="1" w:color="000000"/>
        <w:right w:val="nil"/>
        <w:between w:val="nil"/>
      </w:pBdr>
      <w:tabs>
        <w:tab w:val="center" w:pos="4680"/>
        <w:tab w:val="right" w:pos="9360"/>
      </w:tabs>
      <w:jc w:val="center"/>
      <w:rPr>
        <w:color w:val="000000"/>
        <w:sz w:val="22"/>
        <w:szCs w:val="22"/>
      </w:rPr>
    </w:pPr>
    <w:r>
      <w:rPr>
        <w:color w:val="000000"/>
        <w:sz w:val="22"/>
        <w:szCs w:val="22"/>
      </w:rPr>
      <w:t xml:space="preserve">Vol.8, No. 6, (Juni) 2026, pp. </w:t>
    </w:r>
    <w:r>
      <w:rPr>
        <w:color w:val="000000"/>
        <w:sz w:val="22"/>
        <w:szCs w:val="22"/>
      </w:rPr>
      <w:t>93</w:t>
    </w:r>
    <w:r>
      <w:rPr>
        <w:color w:val="000000"/>
        <w:sz w:val="22"/>
        <w:szCs w:val="22"/>
      </w:rPr>
      <w:t xml:space="preserve"> - </w:t>
    </w:r>
    <w:r>
      <w:rPr>
        <w:color w:val="000000"/>
        <w:sz w:val="22"/>
        <w:szCs w:val="22"/>
      </w:rPr>
      <w:t>104</w:t>
    </w:r>
    <w:r>
      <w:rPr>
        <w:color w:val="000000"/>
        <w:sz w:val="22"/>
        <w:szCs w:val="22"/>
      </w:rPr>
      <w:t xml:space="preserve">        </w:t>
    </w:r>
  </w:p>
  <w:p w14:paraId="2A866780" w14:textId="77777777" w:rsidR="00920D56" w:rsidRDefault="00920D56" w:rsidP="00920D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30445" w14:textId="77777777" w:rsidR="00E5713C" w:rsidRDefault="00E5713C" w:rsidP="00E5713C">
    <w:pPr>
      <w:pBdr>
        <w:top w:val="nil"/>
        <w:left w:val="nil"/>
        <w:bottom w:val="nil"/>
        <w:right w:val="nil"/>
        <w:between w:val="nil"/>
      </w:pBdr>
      <w:tabs>
        <w:tab w:val="center" w:pos="4680"/>
        <w:tab w:val="right" w:pos="9360"/>
      </w:tabs>
      <w:jc w:val="right"/>
      <w:rPr>
        <w:b/>
        <w:color w:val="000000"/>
        <w:sz w:val="20"/>
        <w:szCs w:val="20"/>
      </w:rPr>
    </w:pPr>
    <w:r>
      <w:rPr>
        <w:b/>
        <w:color w:val="000000"/>
        <w:sz w:val="20"/>
        <w:szCs w:val="20"/>
      </w:rPr>
      <w:t>Jurnal Keperawatan Bunda Delima</w:t>
    </w:r>
  </w:p>
  <w:p w14:paraId="0967C1AE" w14:textId="495536A0" w:rsidR="00E5713C" w:rsidRDefault="00E5713C" w:rsidP="00E5713C">
    <w:pPr>
      <w:pBdr>
        <w:top w:val="nil"/>
        <w:left w:val="nil"/>
        <w:bottom w:val="nil"/>
        <w:right w:val="nil"/>
        <w:between w:val="nil"/>
      </w:pBdr>
      <w:tabs>
        <w:tab w:val="center" w:pos="4680"/>
        <w:tab w:val="right" w:pos="9360"/>
      </w:tabs>
      <w:jc w:val="right"/>
      <w:rPr>
        <w:color w:val="000000"/>
        <w:sz w:val="20"/>
        <w:szCs w:val="20"/>
      </w:rPr>
    </w:pPr>
    <w:r>
      <w:rPr>
        <w:color w:val="000000"/>
        <w:sz w:val="20"/>
        <w:szCs w:val="20"/>
      </w:rPr>
      <w:t>Volume 8, Nomor 6, 2026, pp.</w:t>
    </w:r>
    <w:r w:rsidR="00920D56">
      <w:rPr>
        <w:color w:val="000000"/>
        <w:sz w:val="20"/>
        <w:szCs w:val="20"/>
      </w:rPr>
      <w:t>93</w:t>
    </w:r>
    <w:r>
      <w:rPr>
        <w:color w:val="000000"/>
        <w:sz w:val="20"/>
        <w:szCs w:val="20"/>
      </w:rPr>
      <w:t>-1</w:t>
    </w:r>
    <w:r w:rsidR="00920D56">
      <w:rPr>
        <w:color w:val="000000"/>
        <w:sz w:val="20"/>
        <w:szCs w:val="20"/>
      </w:rPr>
      <w:t>04</w:t>
    </w:r>
  </w:p>
  <w:p w14:paraId="6C7DF85D" w14:textId="77777777" w:rsidR="00E5713C" w:rsidRDefault="00E5713C" w:rsidP="00E5713C">
    <w:pPr>
      <w:pBdr>
        <w:top w:val="nil"/>
        <w:left w:val="nil"/>
        <w:bottom w:val="nil"/>
        <w:right w:val="nil"/>
        <w:between w:val="nil"/>
      </w:pBdr>
      <w:tabs>
        <w:tab w:val="center" w:pos="4680"/>
        <w:tab w:val="right" w:pos="9360"/>
      </w:tabs>
      <w:jc w:val="right"/>
      <w:rPr>
        <w:color w:val="000000"/>
        <w:sz w:val="20"/>
        <w:szCs w:val="20"/>
      </w:rPr>
    </w:pPr>
    <w:r>
      <w:rPr>
        <w:color w:val="000000"/>
        <w:sz w:val="20"/>
        <w:szCs w:val="20"/>
      </w:rPr>
      <w:t>ISSN 2656-116 (</w:t>
    </w:r>
    <w:r>
      <w:rPr>
        <w:i/>
        <w:color w:val="000000"/>
        <w:sz w:val="20"/>
        <w:szCs w:val="20"/>
      </w:rPr>
      <w:t>Print</w:t>
    </w:r>
    <w:r>
      <w:rPr>
        <w:color w:val="000000"/>
        <w:sz w:val="20"/>
        <w:szCs w:val="20"/>
      </w:rPr>
      <w:t>), ISSN 829-131x (</w:t>
    </w:r>
    <w:r>
      <w:rPr>
        <w:i/>
        <w:color w:val="000000"/>
        <w:sz w:val="20"/>
        <w:szCs w:val="20"/>
      </w:rPr>
      <w:t>Online</w:t>
    </w:r>
    <w:r>
      <w:rPr>
        <w:color w:val="000000"/>
        <w:sz w:val="20"/>
        <w:szCs w:val="20"/>
      </w:rPr>
      <w:t>)</w:t>
    </w:r>
  </w:p>
  <w:p w14:paraId="37AE04EB" w14:textId="77777777" w:rsidR="00E5713C" w:rsidRDefault="00E5713C" w:rsidP="00E5713C">
    <w:pPr>
      <w:pBdr>
        <w:top w:val="nil"/>
        <w:left w:val="nil"/>
        <w:bottom w:val="nil"/>
        <w:right w:val="nil"/>
        <w:between w:val="nil"/>
      </w:pBdr>
      <w:tabs>
        <w:tab w:val="center" w:pos="4680"/>
        <w:tab w:val="right" w:pos="9360"/>
      </w:tabs>
      <w:jc w:val="right"/>
      <w:rPr>
        <w:color w:val="000000"/>
        <w:sz w:val="20"/>
        <w:szCs w:val="20"/>
        <w:u w:val="single"/>
      </w:rPr>
    </w:pPr>
    <w:hyperlink r:id="rId1">
      <w:r>
        <w:rPr>
          <w:color w:val="0000FF"/>
          <w:sz w:val="20"/>
          <w:szCs w:val="20"/>
          <w:u w:val="single"/>
        </w:rPr>
        <w:t>https://journal.bundadelima.ac.id/index.php/jkbd</w:t>
      </w:r>
    </w:hyperlink>
  </w:p>
  <w:p w14:paraId="29FF6C09" w14:textId="7E50104D" w:rsidR="00E5713C" w:rsidRPr="003107E5" w:rsidRDefault="00E5713C" w:rsidP="00E5713C">
    <w:pPr>
      <w:pStyle w:val="Header"/>
      <w:jc w:val="right"/>
    </w:pPr>
    <w:r w:rsidRPr="007E0345">
      <w:rPr>
        <w:color w:val="FF0000"/>
        <w:sz w:val="20"/>
        <w:szCs w:val="22"/>
        <w:u w:val="single"/>
        <w:shd w:val="clear" w:color="auto" w:fill="FFFFFF"/>
      </w:rPr>
      <w:t>https://doi.org/10.59030/jkbd.v</w:t>
    </w:r>
    <w:r>
      <w:rPr>
        <w:color w:val="FF0000"/>
        <w:sz w:val="20"/>
        <w:szCs w:val="22"/>
        <w:u w:val="single"/>
        <w:shd w:val="clear" w:color="auto" w:fill="FFFFFF"/>
      </w:rPr>
      <w:t>8</w:t>
    </w:r>
    <w:r w:rsidRPr="007E0345">
      <w:rPr>
        <w:color w:val="FF0000"/>
        <w:sz w:val="20"/>
        <w:szCs w:val="22"/>
        <w:u w:val="single"/>
        <w:shd w:val="clear" w:color="auto" w:fill="FFFFFF"/>
      </w:rPr>
      <w:t>i</w:t>
    </w:r>
    <w:r>
      <w:rPr>
        <w:color w:val="FF0000"/>
        <w:sz w:val="20"/>
        <w:szCs w:val="22"/>
        <w:u w:val="single"/>
        <w:shd w:val="clear" w:color="auto" w:fill="FFFFFF"/>
      </w:rPr>
      <w:t>6</w:t>
    </w:r>
    <w:r w:rsidRPr="007E0345">
      <w:rPr>
        <w:color w:val="FF0000"/>
        <w:sz w:val="20"/>
        <w:szCs w:val="22"/>
        <w:u w:val="single"/>
        <w:shd w:val="clear" w:color="auto" w:fill="FFFFFF"/>
      </w:rPr>
      <w:t>.</w:t>
    </w:r>
    <w:r>
      <w:rPr>
        <w:color w:val="FF0000"/>
        <w:sz w:val="20"/>
        <w:szCs w:val="22"/>
        <w:u w:val="single"/>
        <w:shd w:val="clear" w:color="auto" w:fill="FFFFFF"/>
      </w:rPr>
      <w:t>44</w:t>
    </w:r>
    <w:r>
      <w:rPr>
        <w:color w:val="FF0000"/>
        <w:sz w:val="20"/>
        <w:szCs w:val="22"/>
        <w:u w:val="single"/>
        <w:shd w:val="clear" w:color="auto" w:fill="FFFFFF"/>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D41"/>
    <w:multiLevelType w:val="hybridMultilevel"/>
    <w:tmpl w:val="919A32B4"/>
    <w:lvl w:ilvl="0" w:tplc="9D3444A2">
      <w:start w:val="1"/>
      <w:numFmt w:val="decimal"/>
      <w:lvlText w:val="%1."/>
      <w:lvlJc w:val="left"/>
      <w:pPr>
        <w:ind w:left="-4080" w:hanging="360"/>
      </w:pPr>
      <w:rPr>
        <w:rFonts w:ascii="Times New Roman" w:eastAsiaTheme="minorHAnsi" w:hAnsi="Times New Roman" w:cs="Times New Roman"/>
      </w:rPr>
    </w:lvl>
    <w:lvl w:ilvl="1" w:tplc="FFFFFFFF">
      <w:start w:val="1"/>
      <w:numFmt w:val="lowerLetter"/>
      <w:lvlText w:val="%2."/>
      <w:lvlJc w:val="left"/>
      <w:pPr>
        <w:ind w:left="-3360" w:hanging="360"/>
      </w:pPr>
    </w:lvl>
    <w:lvl w:ilvl="2" w:tplc="FFFFFFFF">
      <w:start w:val="1"/>
      <w:numFmt w:val="lowerRoman"/>
      <w:lvlText w:val="%3."/>
      <w:lvlJc w:val="right"/>
      <w:pPr>
        <w:ind w:left="-2640" w:hanging="180"/>
      </w:pPr>
    </w:lvl>
    <w:lvl w:ilvl="3" w:tplc="FFFFFFFF">
      <w:start w:val="1"/>
      <w:numFmt w:val="decimal"/>
      <w:lvlText w:val="%4."/>
      <w:lvlJc w:val="left"/>
      <w:pPr>
        <w:ind w:left="-1920" w:hanging="360"/>
      </w:pPr>
    </w:lvl>
    <w:lvl w:ilvl="4" w:tplc="FFFFFFFF" w:tentative="1">
      <w:start w:val="1"/>
      <w:numFmt w:val="lowerLetter"/>
      <w:lvlText w:val="%5."/>
      <w:lvlJc w:val="left"/>
      <w:pPr>
        <w:ind w:left="-1200" w:hanging="360"/>
      </w:pPr>
    </w:lvl>
    <w:lvl w:ilvl="5" w:tplc="FFFFFFFF" w:tentative="1">
      <w:start w:val="1"/>
      <w:numFmt w:val="lowerRoman"/>
      <w:lvlText w:val="%6."/>
      <w:lvlJc w:val="right"/>
      <w:pPr>
        <w:ind w:left="-480" w:hanging="180"/>
      </w:pPr>
    </w:lvl>
    <w:lvl w:ilvl="6" w:tplc="FFFFFFFF" w:tentative="1">
      <w:start w:val="1"/>
      <w:numFmt w:val="decimal"/>
      <w:lvlText w:val="%7."/>
      <w:lvlJc w:val="left"/>
      <w:pPr>
        <w:ind w:left="240" w:hanging="360"/>
      </w:pPr>
    </w:lvl>
    <w:lvl w:ilvl="7" w:tplc="FFFFFFFF" w:tentative="1">
      <w:start w:val="1"/>
      <w:numFmt w:val="lowerLetter"/>
      <w:lvlText w:val="%8."/>
      <w:lvlJc w:val="left"/>
      <w:pPr>
        <w:ind w:left="960" w:hanging="360"/>
      </w:pPr>
    </w:lvl>
    <w:lvl w:ilvl="8" w:tplc="FFFFFFFF" w:tentative="1">
      <w:start w:val="1"/>
      <w:numFmt w:val="lowerRoman"/>
      <w:lvlText w:val="%9."/>
      <w:lvlJc w:val="right"/>
      <w:pPr>
        <w:ind w:left="1680" w:hanging="180"/>
      </w:pPr>
    </w:lvl>
  </w:abstractNum>
  <w:abstractNum w:abstractNumId="1">
    <w:nsid w:val="04C81347"/>
    <w:multiLevelType w:val="hybridMultilevel"/>
    <w:tmpl w:val="CD82B1D2"/>
    <w:lvl w:ilvl="0" w:tplc="396EA2EE">
      <w:start w:val="1"/>
      <w:numFmt w:val="decimal"/>
      <w:lvlText w:val="%1."/>
      <w:lvlJc w:val="left"/>
      <w:pPr>
        <w:ind w:left="360" w:hanging="360"/>
      </w:pPr>
      <w:rPr>
        <w:rFonts w:ascii="Times New Roman" w:eastAsia="MS Mincho"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0152962"/>
    <w:multiLevelType w:val="hybridMultilevel"/>
    <w:tmpl w:val="230E4F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06F1870"/>
    <w:multiLevelType w:val="hybridMultilevel"/>
    <w:tmpl w:val="074437C4"/>
    <w:lvl w:ilvl="0" w:tplc="AF584F7E">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9071A0"/>
    <w:multiLevelType w:val="hybridMultilevel"/>
    <w:tmpl w:val="733660B8"/>
    <w:lvl w:ilvl="0" w:tplc="0C800E88">
      <w:start w:val="1"/>
      <w:numFmt w:val="decimal"/>
      <w:lvlText w:val="%1."/>
      <w:lvlJc w:val="left"/>
      <w:pPr>
        <w:ind w:left="720" w:hanging="360"/>
      </w:pPr>
      <w:rPr>
        <w:rFonts w:eastAsia="Times New Roman"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E85518"/>
    <w:multiLevelType w:val="hybridMultilevel"/>
    <w:tmpl w:val="D7E044E2"/>
    <w:lvl w:ilvl="0" w:tplc="04210015">
      <w:start w:val="1"/>
      <w:numFmt w:val="upperLetter"/>
      <w:lvlText w:val="%1."/>
      <w:lvlJc w:val="left"/>
      <w:pPr>
        <w:ind w:left="1495"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95441A2"/>
    <w:multiLevelType w:val="hybridMultilevel"/>
    <w:tmpl w:val="057846E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DDA3920"/>
    <w:multiLevelType w:val="hybridMultilevel"/>
    <w:tmpl w:val="D81429C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nsid w:val="3E3A6772"/>
    <w:multiLevelType w:val="hybridMultilevel"/>
    <w:tmpl w:val="4654661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nsid w:val="64D92A03"/>
    <w:multiLevelType w:val="hybridMultilevel"/>
    <w:tmpl w:val="3C2859C6"/>
    <w:lvl w:ilvl="0" w:tplc="FFFFFFFF">
      <w:start w:val="1"/>
      <w:numFmt w:val="decimal"/>
      <w:lvlText w:val="%1."/>
      <w:lvlJc w:val="left"/>
      <w:pPr>
        <w:ind w:left="11" w:hanging="360"/>
      </w:pPr>
    </w:lvl>
    <w:lvl w:ilvl="1" w:tplc="FFFFFFFF">
      <w:start w:val="1"/>
      <w:numFmt w:val="lowerLetter"/>
      <w:lvlText w:val="%2."/>
      <w:lvlJc w:val="left"/>
      <w:pPr>
        <w:ind w:left="731" w:hanging="360"/>
      </w:pPr>
    </w:lvl>
    <w:lvl w:ilvl="2" w:tplc="FFFFFFFF">
      <w:start w:val="1"/>
      <w:numFmt w:val="lowerRoman"/>
      <w:lvlText w:val="%3."/>
      <w:lvlJc w:val="right"/>
      <w:pPr>
        <w:ind w:left="1451" w:hanging="180"/>
      </w:pPr>
    </w:lvl>
    <w:lvl w:ilvl="3" w:tplc="FFFFFFFF">
      <w:start w:val="1"/>
      <w:numFmt w:val="decimal"/>
      <w:lvlText w:val="%4."/>
      <w:lvlJc w:val="left"/>
      <w:pPr>
        <w:ind w:left="2171" w:hanging="360"/>
      </w:pPr>
    </w:lvl>
    <w:lvl w:ilvl="4" w:tplc="FFFFFFFF" w:tentative="1">
      <w:start w:val="1"/>
      <w:numFmt w:val="lowerLetter"/>
      <w:lvlText w:val="%5."/>
      <w:lvlJc w:val="left"/>
      <w:pPr>
        <w:ind w:left="2891" w:hanging="360"/>
      </w:pPr>
    </w:lvl>
    <w:lvl w:ilvl="5" w:tplc="FFFFFFFF" w:tentative="1">
      <w:start w:val="1"/>
      <w:numFmt w:val="lowerRoman"/>
      <w:lvlText w:val="%6."/>
      <w:lvlJc w:val="right"/>
      <w:pPr>
        <w:ind w:left="3611" w:hanging="180"/>
      </w:pPr>
    </w:lvl>
    <w:lvl w:ilvl="6" w:tplc="FFFFFFFF" w:tentative="1">
      <w:start w:val="1"/>
      <w:numFmt w:val="decimal"/>
      <w:lvlText w:val="%7."/>
      <w:lvlJc w:val="left"/>
      <w:pPr>
        <w:ind w:left="4331" w:hanging="360"/>
      </w:pPr>
    </w:lvl>
    <w:lvl w:ilvl="7" w:tplc="FFFFFFFF" w:tentative="1">
      <w:start w:val="1"/>
      <w:numFmt w:val="lowerLetter"/>
      <w:lvlText w:val="%8."/>
      <w:lvlJc w:val="left"/>
      <w:pPr>
        <w:ind w:left="5051" w:hanging="360"/>
      </w:pPr>
    </w:lvl>
    <w:lvl w:ilvl="8" w:tplc="FFFFFFFF" w:tentative="1">
      <w:start w:val="1"/>
      <w:numFmt w:val="lowerRoman"/>
      <w:lvlText w:val="%9."/>
      <w:lvlJc w:val="right"/>
      <w:pPr>
        <w:ind w:left="5771" w:hanging="180"/>
      </w:pPr>
    </w:lvl>
  </w:abstractNum>
  <w:abstractNum w:abstractNumId="10">
    <w:nsid w:val="685E3059"/>
    <w:multiLevelType w:val="hybridMultilevel"/>
    <w:tmpl w:val="A77AA5B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nsid w:val="7B3F6FC6"/>
    <w:multiLevelType w:val="hybridMultilevel"/>
    <w:tmpl w:val="6B2025E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1"/>
  </w:num>
  <w:num w:numId="5">
    <w:abstractNumId w:val="0"/>
  </w:num>
  <w:num w:numId="6">
    <w:abstractNumId w:val="8"/>
  </w:num>
  <w:num w:numId="7">
    <w:abstractNumId w:val="9"/>
  </w:num>
  <w:num w:numId="8">
    <w:abstractNumId w:val="2"/>
  </w:num>
  <w:num w:numId="9">
    <w:abstractNumId w:val="10"/>
  </w:num>
  <w:num w:numId="10">
    <w:abstractNumId w:val="11"/>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495"/>
    <w:rsid w:val="00014453"/>
    <w:rsid w:val="00032BB0"/>
    <w:rsid w:val="00070471"/>
    <w:rsid w:val="000B3C59"/>
    <w:rsid w:val="000D01A8"/>
    <w:rsid w:val="00137825"/>
    <w:rsid w:val="0028722B"/>
    <w:rsid w:val="00296918"/>
    <w:rsid w:val="002B3863"/>
    <w:rsid w:val="0031389D"/>
    <w:rsid w:val="00365A44"/>
    <w:rsid w:val="003A4094"/>
    <w:rsid w:val="003B2615"/>
    <w:rsid w:val="003C6A5B"/>
    <w:rsid w:val="003E675F"/>
    <w:rsid w:val="003F30C2"/>
    <w:rsid w:val="00453ABC"/>
    <w:rsid w:val="004B22EF"/>
    <w:rsid w:val="0055649A"/>
    <w:rsid w:val="005F2D57"/>
    <w:rsid w:val="006153AD"/>
    <w:rsid w:val="0062292A"/>
    <w:rsid w:val="00726161"/>
    <w:rsid w:val="0076565C"/>
    <w:rsid w:val="007C7E98"/>
    <w:rsid w:val="00885F27"/>
    <w:rsid w:val="00920D56"/>
    <w:rsid w:val="009F71D0"/>
    <w:rsid w:val="00A2387A"/>
    <w:rsid w:val="00A37B93"/>
    <w:rsid w:val="00A47A4A"/>
    <w:rsid w:val="00A840B5"/>
    <w:rsid w:val="00AD33A8"/>
    <w:rsid w:val="00B07BD5"/>
    <w:rsid w:val="00B33DE6"/>
    <w:rsid w:val="00B763A4"/>
    <w:rsid w:val="00C50F62"/>
    <w:rsid w:val="00CB48E7"/>
    <w:rsid w:val="00D22FF3"/>
    <w:rsid w:val="00D92041"/>
    <w:rsid w:val="00D922ED"/>
    <w:rsid w:val="00E121E4"/>
    <w:rsid w:val="00E27520"/>
    <w:rsid w:val="00E543CA"/>
    <w:rsid w:val="00E56F3D"/>
    <w:rsid w:val="00E5713C"/>
    <w:rsid w:val="00E71F9A"/>
    <w:rsid w:val="00EB6941"/>
    <w:rsid w:val="00F10F5D"/>
    <w:rsid w:val="00F34A80"/>
    <w:rsid w:val="00F703C6"/>
    <w:rsid w:val="00F72846"/>
    <w:rsid w:val="00F7597E"/>
    <w:rsid w:val="00F966F1"/>
    <w:rsid w:val="00FA6558"/>
    <w:rsid w:val="00FB2495"/>
    <w:rsid w:val="00FD47AD"/>
    <w:rsid w:val="00FE0C79"/>
    <w:rsid w:val="00FF4CE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7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233"/>
    <w:pPr>
      <w:suppressAutoHyphens/>
    </w:pPr>
    <w:rPr>
      <w:rFonts w:eastAsia="MS Mincho"/>
      <w:lang w:eastAsia="ar-SA"/>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uiPriority w:val="99"/>
    <w:unhideWhenUsed/>
    <w:rsid w:val="00A16233"/>
    <w:rPr>
      <w:color w:val="0000FF"/>
      <w:u w:val="single"/>
    </w:rPr>
  </w:style>
  <w:style w:type="paragraph" w:styleId="Subtitle">
    <w:name w:val="Subtitle"/>
    <w:basedOn w:val="Normal"/>
    <w:next w:val="Normal"/>
    <w:link w:val="SubtitleChar"/>
    <w:uiPriority w:val="11"/>
    <w:qFormat/>
    <w:pPr>
      <w:spacing w:after="60"/>
      <w:jc w:val="center"/>
    </w:pPr>
    <w:rPr>
      <w:rFonts w:ascii="Arial" w:eastAsia="Arial" w:hAnsi="Arial" w:cs="Arial"/>
    </w:rPr>
  </w:style>
  <w:style w:type="character" w:customStyle="1" w:styleId="SubtitleChar">
    <w:name w:val="Subtitle Char"/>
    <w:basedOn w:val="DefaultParagraphFont"/>
    <w:link w:val="Subtitle"/>
    <w:rsid w:val="00A16233"/>
    <w:rPr>
      <w:rFonts w:ascii="Arial" w:eastAsia="MS Mincho" w:hAnsi="Arial" w:cs="Times New Roman"/>
      <w:sz w:val="24"/>
      <w:szCs w:val="24"/>
      <w:lang w:val="x-none" w:eastAsia="ar-SA"/>
    </w:rPr>
  </w:style>
  <w:style w:type="paragraph" w:styleId="Header">
    <w:name w:val="header"/>
    <w:basedOn w:val="Normal"/>
    <w:link w:val="HeaderChar"/>
    <w:uiPriority w:val="99"/>
    <w:unhideWhenUsed/>
    <w:qFormat/>
    <w:rsid w:val="00A16233"/>
    <w:pPr>
      <w:tabs>
        <w:tab w:val="center" w:pos="4680"/>
        <w:tab w:val="right" w:pos="9360"/>
      </w:tabs>
    </w:pPr>
  </w:style>
  <w:style w:type="character" w:customStyle="1" w:styleId="HeaderChar">
    <w:name w:val="Header Char"/>
    <w:basedOn w:val="DefaultParagraphFont"/>
    <w:link w:val="Header"/>
    <w:uiPriority w:val="99"/>
    <w:qFormat/>
    <w:rsid w:val="00A16233"/>
    <w:rPr>
      <w:rFonts w:ascii="Times New Roman" w:eastAsia="MS Mincho" w:hAnsi="Times New Roman" w:cs="Times New Roman"/>
      <w:sz w:val="24"/>
      <w:szCs w:val="24"/>
      <w:lang w:eastAsia="ar-SA"/>
    </w:rPr>
  </w:style>
  <w:style w:type="paragraph" w:styleId="Footer">
    <w:name w:val="footer"/>
    <w:basedOn w:val="Normal"/>
    <w:link w:val="FooterChar"/>
    <w:uiPriority w:val="99"/>
    <w:unhideWhenUsed/>
    <w:rsid w:val="00A16233"/>
    <w:pPr>
      <w:tabs>
        <w:tab w:val="center" w:pos="4680"/>
        <w:tab w:val="right" w:pos="9360"/>
      </w:tabs>
    </w:pPr>
  </w:style>
  <w:style w:type="character" w:customStyle="1" w:styleId="FooterChar">
    <w:name w:val="Footer Char"/>
    <w:basedOn w:val="DefaultParagraphFont"/>
    <w:link w:val="Footer"/>
    <w:uiPriority w:val="99"/>
    <w:rsid w:val="00A16233"/>
    <w:rPr>
      <w:rFonts w:ascii="Times New Roman" w:eastAsia="MS Mincho" w:hAnsi="Times New Roman" w:cs="Times New Roman"/>
      <w:sz w:val="24"/>
      <w:szCs w:val="24"/>
      <w:lang w:eastAsia="ar-SA"/>
    </w:rPr>
  </w:style>
  <w:style w:type="paragraph" w:styleId="NormalWeb">
    <w:name w:val="Normal (Web)"/>
    <w:basedOn w:val="Normal"/>
    <w:uiPriority w:val="99"/>
    <w:rsid w:val="00A16233"/>
    <w:pPr>
      <w:widowControl w:val="0"/>
      <w:suppressAutoHyphens w:val="0"/>
      <w:spacing w:before="100" w:beforeAutospacing="1" w:after="100" w:afterAutospacing="1"/>
    </w:pPr>
    <w:rPr>
      <w:rFonts w:eastAsia="Times New Roman"/>
      <w:kern w:val="2"/>
      <w:lang w:eastAsia="zh-CN"/>
    </w:rPr>
  </w:style>
  <w:style w:type="paragraph" w:customStyle="1" w:styleId="p21">
    <w:name w:val="p21"/>
    <w:rsid w:val="00A16233"/>
    <w:pPr>
      <w:spacing w:line="273" w:lineRule="auto"/>
    </w:pPr>
    <w:rPr>
      <w:rFonts w:ascii="Calibri" w:eastAsia="SimSun" w:hAnsi="Calibri" w:cs="Calibri" w:hint="eastAsia"/>
      <w:lang w:eastAsia="zh-CN"/>
    </w:rPr>
  </w:style>
  <w:style w:type="paragraph" w:customStyle="1" w:styleId="Sistematika">
    <w:name w:val="Sistematika"/>
    <w:link w:val="SistematikaChar"/>
    <w:qFormat/>
    <w:rsid w:val="00A16233"/>
    <w:pPr>
      <w:spacing w:before="100" w:beforeAutospacing="1" w:after="120"/>
    </w:pPr>
    <w:rPr>
      <w:rFonts w:ascii="Palatino Linotype" w:hAnsi="Palatino Linotype"/>
      <w:b/>
      <w:bCs/>
      <w:kern w:val="32"/>
      <w:szCs w:val="32"/>
      <w:lang w:val="id-ID"/>
    </w:rPr>
  </w:style>
  <w:style w:type="character" w:customStyle="1" w:styleId="SistematikaChar">
    <w:name w:val="Sistematika Char"/>
    <w:link w:val="Sistematika"/>
    <w:rsid w:val="00A16233"/>
    <w:rPr>
      <w:rFonts w:ascii="Palatino Linotype" w:eastAsia="Times New Roman" w:hAnsi="Palatino Linotype" w:cs="Times New Roman"/>
      <w:b/>
      <w:bCs/>
      <w:kern w:val="32"/>
      <w:szCs w:val="32"/>
      <w:lang w:val="id-ID" w:eastAsia="id-I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link w:val="ListParagraphChar"/>
    <w:uiPriority w:val="1"/>
    <w:qFormat/>
    <w:rsid w:val="009F71D0"/>
    <w:pPr>
      <w:suppressAutoHyphens w:val="0"/>
      <w:spacing w:after="160" w:line="278" w:lineRule="auto"/>
      <w:ind w:left="720"/>
      <w:contextualSpacing/>
    </w:pPr>
    <w:rPr>
      <w:rFonts w:asciiTheme="minorHAnsi" w:eastAsiaTheme="minorHAnsi" w:hAnsiTheme="minorHAnsi" w:cstheme="minorBidi"/>
      <w:kern w:val="2"/>
      <w:lang w:val="id-ID" w:eastAsia="en-US"/>
      <w14:ligatures w14:val="standardContextual"/>
    </w:rPr>
  </w:style>
  <w:style w:type="character" w:styleId="CommentReference">
    <w:name w:val="annotation reference"/>
    <w:basedOn w:val="DefaultParagraphFont"/>
    <w:uiPriority w:val="99"/>
    <w:unhideWhenUsed/>
    <w:rsid w:val="009F71D0"/>
    <w:rPr>
      <w:sz w:val="16"/>
      <w:szCs w:val="16"/>
    </w:rPr>
  </w:style>
  <w:style w:type="paragraph" w:styleId="CommentText">
    <w:name w:val="annotation text"/>
    <w:basedOn w:val="Normal"/>
    <w:link w:val="CommentTextChar"/>
    <w:uiPriority w:val="99"/>
    <w:unhideWhenUsed/>
    <w:rsid w:val="009F71D0"/>
    <w:pPr>
      <w:suppressAutoHyphens w:val="0"/>
      <w:spacing w:after="160"/>
    </w:pPr>
    <w:rPr>
      <w:rFonts w:asciiTheme="minorHAnsi" w:eastAsiaTheme="minorHAnsi" w:hAnsiTheme="minorHAnsi" w:cstheme="minorBidi"/>
      <w:kern w:val="2"/>
      <w:sz w:val="20"/>
      <w:szCs w:val="20"/>
      <w:lang w:val="id-ID" w:eastAsia="en-US"/>
      <w14:ligatures w14:val="standardContextual"/>
    </w:rPr>
  </w:style>
  <w:style w:type="character" w:customStyle="1" w:styleId="CommentTextChar">
    <w:name w:val="Comment Text Char"/>
    <w:basedOn w:val="DefaultParagraphFont"/>
    <w:link w:val="CommentText"/>
    <w:uiPriority w:val="99"/>
    <w:rsid w:val="009F71D0"/>
    <w:rPr>
      <w:rFonts w:asciiTheme="minorHAnsi" w:eastAsiaTheme="minorHAnsi" w:hAnsiTheme="minorHAnsi" w:cstheme="minorBidi"/>
      <w:kern w:val="2"/>
      <w:sz w:val="20"/>
      <w:szCs w:val="20"/>
      <w:lang w:val="id-ID" w:eastAsia="en-US"/>
      <w14:ligatures w14:val="standardContextual"/>
    </w:rPr>
  </w:style>
  <w:style w:type="table" w:styleId="TableGrid">
    <w:name w:val="Table Grid"/>
    <w:basedOn w:val="TableNormal"/>
    <w:uiPriority w:val="39"/>
    <w:qFormat/>
    <w:rsid w:val="009F71D0"/>
    <w:rPr>
      <w:rFonts w:ascii="Calibri" w:eastAsia="SimSun" w:hAnsi="Calibri"/>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1"/>
    <w:rsid w:val="009F71D0"/>
    <w:rPr>
      <w:rFonts w:asciiTheme="minorHAnsi" w:eastAsiaTheme="minorHAnsi" w:hAnsiTheme="minorHAnsi" w:cstheme="minorBidi"/>
      <w:kern w:val="2"/>
      <w:lang w:val="id-ID" w:eastAsia="en-US"/>
      <w14:ligatures w14:val="standardContextual"/>
    </w:rPr>
  </w:style>
  <w:style w:type="paragraph" w:styleId="Caption">
    <w:name w:val="caption"/>
    <w:basedOn w:val="Normal"/>
    <w:next w:val="Normal"/>
    <w:uiPriority w:val="35"/>
    <w:unhideWhenUsed/>
    <w:qFormat/>
    <w:rsid w:val="009F71D0"/>
    <w:pPr>
      <w:suppressAutoHyphens w:val="0"/>
      <w:spacing w:after="200"/>
    </w:pPr>
    <w:rPr>
      <w:rFonts w:ascii="Calibri" w:eastAsia="SimSun" w:hAnsi="Calibri"/>
      <w:i/>
      <w:iCs/>
      <w:color w:val="1F497D" w:themeColor="text2"/>
      <w:sz w:val="18"/>
      <w:szCs w:val="18"/>
      <w:lang w:val="id-ID" w:eastAsia="zh-CN"/>
    </w:rPr>
  </w:style>
  <w:style w:type="character" w:styleId="Strong">
    <w:name w:val="Strong"/>
    <w:basedOn w:val="DefaultParagraphFont"/>
    <w:uiPriority w:val="22"/>
    <w:qFormat/>
    <w:rsid w:val="00E543CA"/>
    <w:rPr>
      <w:b/>
      <w:bCs/>
    </w:rPr>
  </w:style>
  <w:style w:type="character" w:customStyle="1" w:styleId="UnresolvedMention">
    <w:name w:val="Unresolved Mention"/>
    <w:basedOn w:val="DefaultParagraphFont"/>
    <w:uiPriority w:val="99"/>
    <w:semiHidden/>
    <w:unhideWhenUsed/>
    <w:rsid w:val="00B07BD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233"/>
    <w:pPr>
      <w:suppressAutoHyphens/>
    </w:pPr>
    <w:rPr>
      <w:rFonts w:eastAsia="MS Mincho"/>
      <w:lang w:eastAsia="ar-SA"/>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uiPriority w:val="99"/>
    <w:unhideWhenUsed/>
    <w:rsid w:val="00A16233"/>
    <w:rPr>
      <w:color w:val="0000FF"/>
      <w:u w:val="single"/>
    </w:rPr>
  </w:style>
  <w:style w:type="paragraph" w:styleId="Subtitle">
    <w:name w:val="Subtitle"/>
    <w:basedOn w:val="Normal"/>
    <w:next w:val="Normal"/>
    <w:link w:val="SubtitleChar"/>
    <w:uiPriority w:val="11"/>
    <w:qFormat/>
    <w:pPr>
      <w:spacing w:after="60"/>
      <w:jc w:val="center"/>
    </w:pPr>
    <w:rPr>
      <w:rFonts w:ascii="Arial" w:eastAsia="Arial" w:hAnsi="Arial" w:cs="Arial"/>
    </w:rPr>
  </w:style>
  <w:style w:type="character" w:customStyle="1" w:styleId="SubtitleChar">
    <w:name w:val="Subtitle Char"/>
    <w:basedOn w:val="DefaultParagraphFont"/>
    <w:link w:val="Subtitle"/>
    <w:rsid w:val="00A16233"/>
    <w:rPr>
      <w:rFonts w:ascii="Arial" w:eastAsia="MS Mincho" w:hAnsi="Arial" w:cs="Times New Roman"/>
      <w:sz w:val="24"/>
      <w:szCs w:val="24"/>
      <w:lang w:val="x-none" w:eastAsia="ar-SA"/>
    </w:rPr>
  </w:style>
  <w:style w:type="paragraph" w:styleId="Header">
    <w:name w:val="header"/>
    <w:basedOn w:val="Normal"/>
    <w:link w:val="HeaderChar"/>
    <w:uiPriority w:val="99"/>
    <w:unhideWhenUsed/>
    <w:qFormat/>
    <w:rsid w:val="00A16233"/>
    <w:pPr>
      <w:tabs>
        <w:tab w:val="center" w:pos="4680"/>
        <w:tab w:val="right" w:pos="9360"/>
      </w:tabs>
    </w:pPr>
  </w:style>
  <w:style w:type="character" w:customStyle="1" w:styleId="HeaderChar">
    <w:name w:val="Header Char"/>
    <w:basedOn w:val="DefaultParagraphFont"/>
    <w:link w:val="Header"/>
    <w:uiPriority w:val="99"/>
    <w:qFormat/>
    <w:rsid w:val="00A16233"/>
    <w:rPr>
      <w:rFonts w:ascii="Times New Roman" w:eastAsia="MS Mincho" w:hAnsi="Times New Roman" w:cs="Times New Roman"/>
      <w:sz w:val="24"/>
      <w:szCs w:val="24"/>
      <w:lang w:eastAsia="ar-SA"/>
    </w:rPr>
  </w:style>
  <w:style w:type="paragraph" w:styleId="Footer">
    <w:name w:val="footer"/>
    <w:basedOn w:val="Normal"/>
    <w:link w:val="FooterChar"/>
    <w:uiPriority w:val="99"/>
    <w:unhideWhenUsed/>
    <w:rsid w:val="00A16233"/>
    <w:pPr>
      <w:tabs>
        <w:tab w:val="center" w:pos="4680"/>
        <w:tab w:val="right" w:pos="9360"/>
      </w:tabs>
    </w:pPr>
  </w:style>
  <w:style w:type="character" w:customStyle="1" w:styleId="FooterChar">
    <w:name w:val="Footer Char"/>
    <w:basedOn w:val="DefaultParagraphFont"/>
    <w:link w:val="Footer"/>
    <w:uiPriority w:val="99"/>
    <w:rsid w:val="00A16233"/>
    <w:rPr>
      <w:rFonts w:ascii="Times New Roman" w:eastAsia="MS Mincho" w:hAnsi="Times New Roman" w:cs="Times New Roman"/>
      <w:sz w:val="24"/>
      <w:szCs w:val="24"/>
      <w:lang w:eastAsia="ar-SA"/>
    </w:rPr>
  </w:style>
  <w:style w:type="paragraph" w:styleId="NormalWeb">
    <w:name w:val="Normal (Web)"/>
    <w:basedOn w:val="Normal"/>
    <w:uiPriority w:val="99"/>
    <w:rsid w:val="00A16233"/>
    <w:pPr>
      <w:widowControl w:val="0"/>
      <w:suppressAutoHyphens w:val="0"/>
      <w:spacing w:before="100" w:beforeAutospacing="1" w:after="100" w:afterAutospacing="1"/>
    </w:pPr>
    <w:rPr>
      <w:rFonts w:eastAsia="Times New Roman"/>
      <w:kern w:val="2"/>
      <w:lang w:eastAsia="zh-CN"/>
    </w:rPr>
  </w:style>
  <w:style w:type="paragraph" w:customStyle="1" w:styleId="p21">
    <w:name w:val="p21"/>
    <w:rsid w:val="00A16233"/>
    <w:pPr>
      <w:spacing w:line="273" w:lineRule="auto"/>
    </w:pPr>
    <w:rPr>
      <w:rFonts w:ascii="Calibri" w:eastAsia="SimSun" w:hAnsi="Calibri" w:cs="Calibri" w:hint="eastAsia"/>
      <w:lang w:eastAsia="zh-CN"/>
    </w:rPr>
  </w:style>
  <w:style w:type="paragraph" w:customStyle="1" w:styleId="Sistematika">
    <w:name w:val="Sistematika"/>
    <w:link w:val="SistematikaChar"/>
    <w:qFormat/>
    <w:rsid w:val="00A16233"/>
    <w:pPr>
      <w:spacing w:before="100" w:beforeAutospacing="1" w:after="120"/>
    </w:pPr>
    <w:rPr>
      <w:rFonts w:ascii="Palatino Linotype" w:hAnsi="Palatino Linotype"/>
      <w:b/>
      <w:bCs/>
      <w:kern w:val="32"/>
      <w:szCs w:val="32"/>
      <w:lang w:val="id-ID"/>
    </w:rPr>
  </w:style>
  <w:style w:type="character" w:customStyle="1" w:styleId="SistematikaChar">
    <w:name w:val="Sistematika Char"/>
    <w:link w:val="Sistematika"/>
    <w:rsid w:val="00A16233"/>
    <w:rPr>
      <w:rFonts w:ascii="Palatino Linotype" w:eastAsia="Times New Roman" w:hAnsi="Palatino Linotype" w:cs="Times New Roman"/>
      <w:b/>
      <w:bCs/>
      <w:kern w:val="32"/>
      <w:szCs w:val="32"/>
      <w:lang w:val="id-ID" w:eastAsia="id-I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link w:val="ListParagraphChar"/>
    <w:uiPriority w:val="1"/>
    <w:qFormat/>
    <w:rsid w:val="009F71D0"/>
    <w:pPr>
      <w:suppressAutoHyphens w:val="0"/>
      <w:spacing w:after="160" w:line="278" w:lineRule="auto"/>
      <w:ind w:left="720"/>
      <w:contextualSpacing/>
    </w:pPr>
    <w:rPr>
      <w:rFonts w:asciiTheme="minorHAnsi" w:eastAsiaTheme="minorHAnsi" w:hAnsiTheme="minorHAnsi" w:cstheme="minorBidi"/>
      <w:kern w:val="2"/>
      <w:lang w:val="id-ID" w:eastAsia="en-US"/>
      <w14:ligatures w14:val="standardContextual"/>
    </w:rPr>
  </w:style>
  <w:style w:type="character" w:styleId="CommentReference">
    <w:name w:val="annotation reference"/>
    <w:basedOn w:val="DefaultParagraphFont"/>
    <w:uiPriority w:val="99"/>
    <w:unhideWhenUsed/>
    <w:rsid w:val="009F71D0"/>
    <w:rPr>
      <w:sz w:val="16"/>
      <w:szCs w:val="16"/>
    </w:rPr>
  </w:style>
  <w:style w:type="paragraph" w:styleId="CommentText">
    <w:name w:val="annotation text"/>
    <w:basedOn w:val="Normal"/>
    <w:link w:val="CommentTextChar"/>
    <w:uiPriority w:val="99"/>
    <w:unhideWhenUsed/>
    <w:rsid w:val="009F71D0"/>
    <w:pPr>
      <w:suppressAutoHyphens w:val="0"/>
      <w:spacing w:after="160"/>
    </w:pPr>
    <w:rPr>
      <w:rFonts w:asciiTheme="minorHAnsi" w:eastAsiaTheme="minorHAnsi" w:hAnsiTheme="minorHAnsi" w:cstheme="minorBidi"/>
      <w:kern w:val="2"/>
      <w:sz w:val="20"/>
      <w:szCs w:val="20"/>
      <w:lang w:val="id-ID" w:eastAsia="en-US"/>
      <w14:ligatures w14:val="standardContextual"/>
    </w:rPr>
  </w:style>
  <w:style w:type="character" w:customStyle="1" w:styleId="CommentTextChar">
    <w:name w:val="Comment Text Char"/>
    <w:basedOn w:val="DefaultParagraphFont"/>
    <w:link w:val="CommentText"/>
    <w:uiPriority w:val="99"/>
    <w:rsid w:val="009F71D0"/>
    <w:rPr>
      <w:rFonts w:asciiTheme="minorHAnsi" w:eastAsiaTheme="minorHAnsi" w:hAnsiTheme="minorHAnsi" w:cstheme="minorBidi"/>
      <w:kern w:val="2"/>
      <w:sz w:val="20"/>
      <w:szCs w:val="20"/>
      <w:lang w:val="id-ID" w:eastAsia="en-US"/>
      <w14:ligatures w14:val="standardContextual"/>
    </w:rPr>
  </w:style>
  <w:style w:type="table" w:styleId="TableGrid">
    <w:name w:val="Table Grid"/>
    <w:basedOn w:val="TableNormal"/>
    <w:uiPriority w:val="39"/>
    <w:qFormat/>
    <w:rsid w:val="009F71D0"/>
    <w:rPr>
      <w:rFonts w:ascii="Calibri" w:eastAsia="SimSun" w:hAnsi="Calibri"/>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1"/>
    <w:rsid w:val="009F71D0"/>
    <w:rPr>
      <w:rFonts w:asciiTheme="minorHAnsi" w:eastAsiaTheme="minorHAnsi" w:hAnsiTheme="minorHAnsi" w:cstheme="minorBidi"/>
      <w:kern w:val="2"/>
      <w:lang w:val="id-ID" w:eastAsia="en-US"/>
      <w14:ligatures w14:val="standardContextual"/>
    </w:rPr>
  </w:style>
  <w:style w:type="paragraph" w:styleId="Caption">
    <w:name w:val="caption"/>
    <w:basedOn w:val="Normal"/>
    <w:next w:val="Normal"/>
    <w:uiPriority w:val="35"/>
    <w:unhideWhenUsed/>
    <w:qFormat/>
    <w:rsid w:val="009F71D0"/>
    <w:pPr>
      <w:suppressAutoHyphens w:val="0"/>
      <w:spacing w:after="200"/>
    </w:pPr>
    <w:rPr>
      <w:rFonts w:ascii="Calibri" w:eastAsia="SimSun" w:hAnsi="Calibri"/>
      <w:i/>
      <w:iCs/>
      <w:color w:val="1F497D" w:themeColor="text2"/>
      <w:sz w:val="18"/>
      <w:szCs w:val="18"/>
      <w:lang w:val="id-ID" w:eastAsia="zh-CN"/>
    </w:rPr>
  </w:style>
  <w:style w:type="character" w:styleId="Strong">
    <w:name w:val="Strong"/>
    <w:basedOn w:val="DefaultParagraphFont"/>
    <w:uiPriority w:val="22"/>
    <w:qFormat/>
    <w:rsid w:val="00E543CA"/>
    <w:rPr>
      <w:b/>
      <w:bCs/>
    </w:rPr>
  </w:style>
  <w:style w:type="character" w:customStyle="1" w:styleId="UnresolvedMention">
    <w:name w:val="Unresolved Mention"/>
    <w:basedOn w:val="DefaultParagraphFont"/>
    <w:uiPriority w:val="99"/>
    <w:semiHidden/>
    <w:unhideWhenUsed/>
    <w:rsid w:val="00B07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mailto:kusumahdhika@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hyperlink" Target="https://journal.bundadelima.ac.id/index.php/jk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pV6enqqxwmWY/6OvvCmZC+QUYw==">CgMxLjAyCGguZ2pkZ3hzOAByITFWYW16bFNfMFE5T0pBc2JZT21CWmFMTnd6SWNReklMWQ==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8D7B8C-4224-4983-B800-F710285C1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18248</Words>
  <Characters>104015</Characters>
  <Application>Microsoft Office Word</Application>
  <DocSecurity>0</DocSecurity>
  <Lines>866</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Administrator</cp:lastModifiedBy>
  <cp:revision>3</cp:revision>
  <cp:lastPrinted>2026-07-15T07:04:00Z</cp:lastPrinted>
  <dcterms:created xsi:type="dcterms:W3CDTF">2026-07-15T07:04:00Z</dcterms:created>
  <dcterms:modified xsi:type="dcterms:W3CDTF">2026-07-15T07:09:00Z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0c2d9dd2-2335-3dec-a109-c0e5134c1222</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