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1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6300"/>
      </w:tblGrid>
      <w:tr w:rsidR="000A19C5">
        <w:tc>
          <w:tcPr>
            <w:tcW w:w="9180" w:type="dxa"/>
            <w:gridSpan w:val="2"/>
            <w:tcBorders>
              <w:top w:val="nil"/>
              <w:left w:val="nil"/>
              <w:bottom w:val="nil"/>
              <w:right w:val="nil"/>
            </w:tcBorders>
          </w:tcPr>
          <w:p w:rsidR="000A19C5" w:rsidRPr="00BB7C6E" w:rsidRDefault="003F03AB" w:rsidP="003F03AB">
            <w:pPr>
              <w:jc w:val="both"/>
              <w:rPr>
                <w:b/>
                <w:sz w:val="28"/>
                <w:szCs w:val="28"/>
                <w:lang w:val="id-ID"/>
              </w:rPr>
            </w:pPr>
            <w:bookmarkStart w:id="0" w:name="_heading=h.gjdgxs" w:colFirst="0" w:colLast="0"/>
            <w:bookmarkStart w:id="1" w:name="_GoBack"/>
            <w:bookmarkEnd w:id="0"/>
            <w:bookmarkEnd w:id="1"/>
            <w:r>
              <w:rPr>
                <w:b/>
                <w:sz w:val="28"/>
                <w:szCs w:val="28"/>
              </w:rPr>
              <w:t xml:space="preserve">Faktor – </w:t>
            </w:r>
            <w:r>
              <w:rPr>
                <w:b/>
                <w:sz w:val="28"/>
                <w:szCs w:val="28"/>
                <w:lang w:val="id-ID"/>
              </w:rPr>
              <w:t>F</w:t>
            </w:r>
            <w:r>
              <w:rPr>
                <w:b/>
                <w:sz w:val="28"/>
                <w:szCs w:val="28"/>
              </w:rPr>
              <w:t xml:space="preserve">aktor </w:t>
            </w:r>
            <w:r>
              <w:rPr>
                <w:b/>
                <w:sz w:val="28"/>
                <w:szCs w:val="28"/>
                <w:lang w:val="id-ID"/>
              </w:rPr>
              <w:t>y</w:t>
            </w:r>
            <w:r w:rsidR="00044B21" w:rsidRPr="00044B21">
              <w:rPr>
                <w:b/>
                <w:sz w:val="28"/>
                <w:szCs w:val="28"/>
              </w:rPr>
              <w:t xml:space="preserve">ang </w:t>
            </w:r>
            <w:r>
              <w:rPr>
                <w:b/>
                <w:sz w:val="28"/>
                <w:szCs w:val="28"/>
              </w:rPr>
              <w:t xml:space="preserve">Mempengaruhi Empati Masyarakat </w:t>
            </w:r>
            <w:r>
              <w:rPr>
                <w:b/>
                <w:sz w:val="28"/>
                <w:szCs w:val="28"/>
                <w:lang w:val="id-ID"/>
              </w:rPr>
              <w:t>d</w:t>
            </w:r>
            <w:r w:rsidR="00044B21" w:rsidRPr="00044B21">
              <w:rPr>
                <w:b/>
                <w:sz w:val="28"/>
                <w:szCs w:val="28"/>
              </w:rPr>
              <w:t xml:space="preserve">alam Perilaku Memanusiakan </w:t>
            </w:r>
            <w:r w:rsidRPr="003F03AB">
              <w:rPr>
                <w:b/>
                <w:sz w:val="28"/>
                <w:szCs w:val="28"/>
              </w:rPr>
              <w:t>Orang dengan Gangguan Jiwa</w:t>
            </w:r>
            <w:r w:rsidR="00044B21" w:rsidRPr="00044B21">
              <w:rPr>
                <w:b/>
                <w:sz w:val="28"/>
                <w:szCs w:val="28"/>
              </w:rPr>
              <w:t xml:space="preserve"> Pasung di Wilayah Kerja Puskesmas Ranuyoso</w:t>
            </w:r>
          </w:p>
        </w:tc>
      </w:tr>
      <w:tr w:rsidR="000A19C5">
        <w:tc>
          <w:tcPr>
            <w:tcW w:w="9180" w:type="dxa"/>
            <w:gridSpan w:val="2"/>
            <w:tcBorders>
              <w:top w:val="nil"/>
              <w:left w:val="nil"/>
              <w:bottom w:val="nil"/>
              <w:right w:val="nil"/>
            </w:tcBorders>
          </w:tcPr>
          <w:p w:rsidR="000A19C5" w:rsidRDefault="000A19C5">
            <w:pPr>
              <w:rPr>
                <w:b/>
                <w:sz w:val="28"/>
                <w:szCs w:val="28"/>
              </w:rPr>
            </w:pPr>
          </w:p>
        </w:tc>
      </w:tr>
      <w:tr w:rsidR="000A19C5">
        <w:tc>
          <w:tcPr>
            <w:tcW w:w="9180" w:type="dxa"/>
            <w:gridSpan w:val="2"/>
            <w:tcBorders>
              <w:top w:val="nil"/>
              <w:left w:val="nil"/>
              <w:bottom w:val="nil"/>
              <w:right w:val="nil"/>
            </w:tcBorders>
          </w:tcPr>
          <w:p w:rsidR="000A19C5" w:rsidRDefault="00044B21" w:rsidP="00044B21">
            <w:pPr>
              <w:jc w:val="both"/>
              <w:rPr>
                <w:b/>
                <w:sz w:val="28"/>
                <w:szCs w:val="28"/>
              </w:rPr>
            </w:pPr>
            <w:r w:rsidRPr="00044B21">
              <w:rPr>
                <w:b/>
                <w:bCs/>
                <w:i/>
                <w:iCs/>
                <w:sz w:val="28"/>
                <w:szCs w:val="28"/>
                <w:lang w:val="id-ID"/>
              </w:rPr>
              <w:t>Factors Influencing Community Empathy in Humanizing the Behavior Toward Shackled People with Mental Disorders (ODGJ) in the Working Area of</w:t>
            </w:r>
            <w:r>
              <w:rPr>
                <w:b/>
                <w:bCs/>
                <w:i/>
                <w:iCs/>
                <w:sz w:val="28"/>
                <w:szCs w:val="28"/>
                <w:lang w:val="id-ID"/>
              </w:rPr>
              <w:t xml:space="preserve"> Ranuyoso Public Health Center</w:t>
            </w:r>
          </w:p>
        </w:tc>
      </w:tr>
      <w:tr w:rsidR="000A19C5">
        <w:tc>
          <w:tcPr>
            <w:tcW w:w="9180" w:type="dxa"/>
            <w:gridSpan w:val="2"/>
            <w:tcBorders>
              <w:top w:val="nil"/>
              <w:left w:val="nil"/>
              <w:bottom w:val="nil"/>
              <w:right w:val="nil"/>
            </w:tcBorders>
          </w:tcPr>
          <w:p w:rsidR="000A19C5" w:rsidRDefault="000A19C5">
            <w:pPr>
              <w:rPr>
                <w:b/>
                <w:i/>
                <w:sz w:val="28"/>
                <w:szCs w:val="28"/>
              </w:rPr>
            </w:pPr>
          </w:p>
        </w:tc>
      </w:tr>
      <w:tr w:rsidR="000A19C5">
        <w:tc>
          <w:tcPr>
            <w:tcW w:w="9180" w:type="dxa"/>
            <w:gridSpan w:val="2"/>
            <w:tcBorders>
              <w:top w:val="nil"/>
              <w:left w:val="nil"/>
              <w:bottom w:val="nil"/>
              <w:right w:val="nil"/>
            </w:tcBorders>
          </w:tcPr>
          <w:p w:rsidR="000A19C5" w:rsidRPr="009E20DD" w:rsidRDefault="00044B21">
            <w:pPr>
              <w:rPr>
                <w:b/>
                <w:sz w:val="22"/>
                <w:szCs w:val="22"/>
                <w:vertAlign w:val="superscript"/>
              </w:rPr>
            </w:pPr>
            <w:r w:rsidRPr="00044B21">
              <w:rPr>
                <w:b/>
                <w:bCs/>
                <w:sz w:val="22"/>
                <w:szCs w:val="22"/>
              </w:rPr>
              <w:t>Donie Indra Ihwahyudy</w:t>
            </w:r>
            <w:r w:rsidR="00A647AE">
              <w:rPr>
                <w:b/>
                <w:sz w:val="22"/>
                <w:szCs w:val="22"/>
                <w:vertAlign w:val="superscript"/>
              </w:rPr>
              <w:t>1*</w:t>
            </w:r>
            <w:r w:rsidR="00A647AE">
              <w:rPr>
                <w:b/>
                <w:sz w:val="22"/>
                <w:szCs w:val="22"/>
              </w:rPr>
              <w:t xml:space="preserve">, </w:t>
            </w:r>
            <w:r w:rsidRPr="00044B21">
              <w:rPr>
                <w:b/>
                <w:sz w:val="22"/>
                <w:szCs w:val="22"/>
                <w:lang w:val="id-ID"/>
              </w:rPr>
              <w:t>Dodik Hartono</w:t>
            </w:r>
            <w:r w:rsidR="00A647AE">
              <w:rPr>
                <w:b/>
                <w:sz w:val="22"/>
                <w:szCs w:val="22"/>
                <w:vertAlign w:val="superscript"/>
              </w:rPr>
              <w:t>2</w:t>
            </w:r>
            <w:r w:rsidR="00A647AE">
              <w:rPr>
                <w:b/>
                <w:sz w:val="22"/>
                <w:szCs w:val="22"/>
              </w:rPr>
              <w:t xml:space="preserve">, </w:t>
            </w:r>
            <w:r w:rsidR="00A77CF7">
              <w:rPr>
                <w:b/>
                <w:sz w:val="22"/>
                <w:szCs w:val="22"/>
                <w:lang w:val="id-ID"/>
              </w:rPr>
              <w:t>R. Endro Sulistyono</w:t>
            </w:r>
            <w:r w:rsidR="000D26CD">
              <w:rPr>
                <w:b/>
                <w:sz w:val="22"/>
                <w:szCs w:val="22"/>
                <w:vertAlign w:val="superscript"/>
              </w:rPr>
              <w:t>3</w:t>
            </w:r>
            <w:r w:rsidR="005778EE">
              <w:rPr>
                <w:b/>
                <w:sz w:val="22"/>
                <w:szCs w:val="22"/>
                <w:lang w:val="id-ID"/>
              </w:rPr>
              <w:t xml:space="preserve">, </w:t>
            </w:r>
            <w:r w:rsidRPr="00044B21">
              <w:rPr>
                <w:b/>
                <w:sz w:val="22"/>
                <w:szCs w:val="22"/>
              </w:rPr>
              <w:t>Ainul Yaqin Salam</w:t>
            </w:r>
            <w:r w:rsidRPr="00044B21">
              <w:rPr>
                <w:b/>
                <w:sz w:val="22"/>
                <w:szCs w:val="22"/>
                <w:vertAlign w:val="superscript"/>
                <w:lang w:val="id-ID"/>
              </w:rPr>
              <w:t xml:space="preserve"> </w:t>
            </w:r>
            <w:r w:rsidR="009E20DD">
              <w:rPr>
                <w:b/>
                <w:sz w:val="22"/>
                <w:szCs w:val="22"/>
                <w:vertAlign w:val="superscript"/>
              </w:rPr>
              <w:t>2</w:t>
            </w:r>
          </w:p>
          <w:p w:rsidR="00A77CF7" w:rsidRPr="003F03AB" w:rsidRDefault="00A647AE" w:rsidP="003F03AB">
            <w:pPr>
              <w:jc w:val="both"/>
              <w:rPr>
                <w:sz w:val="22"/>
                <w:szCs w:val="22"/>
                <w:lang w:val="id-ID"/>
              </w:rPr>
            </w:pPr>
            <w:r>
              <w:rPr>
                <w:sz w:val="22"/>
                <w:szCs w:val="22"/>
                <w:vertAlign w:val="superscript"/>
              </w:rPr>
              <w:t>1</w:t>
            </w:r>
            <w:r w:rsidR="00317B6B">
              <w:rPr>
                <w:sz w:val="22"/>
                <w:szCs w:val="22"/>
              </w:rPr>
              <w:t>Pr</w:t>
            </w:r>
            <w:r w:rsidR="00317B6B" w:rsidRPr="00317B6B">
              <w:rPr>
                <w:sz w:val="22"/>
                <w:szCs w:val="22"/>
              </w:rPr>
              <w:t xml:space="preserve">odi Sarjana Keperawatan, </w:t>
            </w:r>
            <w:r w:rsidR="009E20DD">
              <w:rPr>
                <w:sz w:val="22"/>
                <w:szCs w:val="22"/>
                <w:vertAlign w:val="superscript"/>
                <w:lang w:val="id-ID"/>
              </w:rPr>
              <w:t>2</w:t>
            </w:r>
            <w:r w:rsidR="003F03AB">
              <w:rPr>
                <w:sz w:val="22"/>
                <w:szCs w:val="22"/>
              </w:rPr>
              <w:t>Pr</w:t>
            </w:r>
            <w:r w:rsidR="003F03AB" w:rsidRPr="00317B6B">
              <w:rPr>
                <w:sz w:val="22"/>
                <w:szCs w:val="22"/>
              </w:rPr>
              <w:t xml:space="preserve">odi </w:t>
            </w:r>
            <w:r w:rsidR="003F03AB">
              <w:rPr>
                <w:sz w:val="22"/>
                <w:szCs w:val="22"/>
                <w:lang w:val="id-ID"/>
              </w:rPr>
              <w:t>Profesi Ners</w:t>
            </w:r>
            <w:r w:rsidR="003F03AB" w:rsidRPr="00317B6B">
              <w:rPr>
                <w:sz w:val="22"/>
                <w:szCs w:val="22"/>
              </w:rPr>
              <w:t xml:space="preserve">, </w:t>
            </w:r>
            <w:r w:rsidR="00317B6B" w:rsidRPr="00317B6B">
              <w:rPr>
                <w:sz w:val="22"/>
                <w:szCs w:val="22"/>
              </w:rPr>
              <w:t>Fakultas Ilmu Kesehatan, Universitas Hafshawaty Zainul Hasan, Probolinggo</w:t>
            </w:r>
          </w:p>
          <w:p w:rsidR="005778EE" w:rsidRDefault="00A77CF7" w:rsidP="00044B21">
            <w:pPr>
              <w:jc w:val="both"/>
              <w:rPr>
                <w:sz w:val="22"/>
                <w:szCs w:val="22"/>
              </w:rPr>
            </w:pPr>
            <w:r>
              <w:rPr>
                <w:sz w:val="22"/>
                <w:szCs w:val="22"/>
                <w:vertAlign w:val="superscript"/>
                <w:lang w:val="id-ID"/>
              </w:rPr>
              <w:t>3</w:t>
            </w:r>
            <w:r w:rsidR="00582959">
              <w:rPr>
                <w:sz w:val="22"/>
                <w:szCs w:val="22"/>
                <w:lang w:val="id-ID"/>
              </w:rPr>
              <w:t>Prodi D3 Keperawata</w:t>
            </w:r>
            <w:r w:rsidR="003F03AB">
              <w:rPr>
                <w:sz w:val="22"/>
                <w:szCs w:val="22"/>
                <w:lang w:val="id-ID"/>
              </w:rPr>
              <w:t>n</w:t>
            </w:r>
            <w:r w:rsidR="00582959">
              <w:rPr>
                <w:sz w:val="22"/>
                <w:szCs w:val="22"/>
                <w:lang w:val="id-ID"/>
              </w:rPr>
              <w:t>, Fakultas Ilmu Kesehatan, Universitas Jember</w:t>
            </w:r>
          </w:p>
          <w:p w:rsidR="009E20DD" w:rsidRPr="009E20DD" w:rsidRDefault="009E20DD" w:rsidP="00044B21">
            <w:pPr>
              <w:jc w:val="both"/>
              <w:rPr>
                <w:sz w:val="22"/>
                <w:szCs w:val="22"/>
              </w:rPr>
            </w:pPr>
          </w:p>
        </w:tc>
      </w:tr>
      <w:tr w:rsidR="000A19C5">
        <w:tc>
          <w:tcPr>
            <w:tcW w:w="2880" w:type="dxa"/>
            <w:vMerge w:val="restart"/>
            <w:tcBorders>
              <w:top w:val="single" w:sz="4" w:space="0" w:color="000000"/>
              <w:left w:val="nil"/>
              <w:bottom w:val="single" w:sz="4" w:space="0" w:color="000000"/>
              <w:right w:val="nil"/>
            </w:tcBorders>
          </w:tcPr>
          <w:p w:rsidR="000A19C5" w:rsidRDefault="00A647AE">
            <w:pPr>
              <w:jc w:val="both"/>
              <w:rPr>
                <w:sz w:val="20"/>
                <w:szCs w:val="20"/>
              </w:rPr>
            </w:pPr>
            <w:r>
              <w:rPr>
                <w:b/>
                <w:sz w:val="20"/>
                <w:szCs w:val="20"/>
              </w:rPr>
              <w:t>Kata Kunci :</w:t>
            </w:r>
            <w:r>
              <w:rPr>
                <w:sz w:val="20"/>
                <w:szCs w:val="20"/>
              </w:rPr>
              <w:t xml:space="preserve"> </w:t>
            </w:r>
          </w:p>
          <w:p w:rsidR="000A19C5" w:rsidRDefault="00044B21" w:rsidP="00A77CF7">
            <w:pPr>
              <w:tabs>
                <w:tab w:val="left" w:pos="1875"/>
              </w:tabs>
              <w:jc w:val="both"/>
              <w:rPr>
                <w:b/>
                <w:sz w:val="20"/>
                <w:szCs w:val="20"/>
              </w:rPr>
            </w:pPr>
            <w:r w:rsidRPr="00044B21">
              <w:rPr>
                <w:bCs/>
                <w:i/>
                <w:iCs/>
                <w:sz w:val="20"/>
                <w:szCs w:val="20"/>
                <w:lang w:val="id-ID"/>
              </w:rPr>
              <w:t>empati, ODGJ pasung, lingkungan, sosial budaya, pengetahuan</w:t>
            </w:r>
            <w:r w:rsidR="00A77CF7">
              <w:rPr>
                <w:b/>
                <w:sz w:val="20"/>
                <w:szCs w:val="20"/>
              </w:rPr>
              <w:tab/>
            </w:r>
          </w:p>
        </w:tc>
        <w:tc>
          <w:tcPr>
            <w:tcW w:w="6300" w:type="dxa"/>
            <w:tcBorders>
              <w:top w:val="single" w:sz="4" w:space="0" w:color="000000"/>
              <w:left w:val="nil"/>
              <w:bottom w:val="single" w:sz="4" w:space="0" w:color="000000"/>
              <w:right w:val="nil"/>
            </w:tcBorders>
          </w:tcPr>
          <w:p w:rsidR="000A19C5" w:rsidRDefault="00A647AE">
            <w:pPr>
              <w:jc w:val="both"/>
              <w:rPr>
                <w:b/>
                <w:sz w:val="20"/>
                <w:szCs w:val="20"/>
              </w:rPr>
            </w:pPr>
            <w:r>
              <w:rPr>
                <w:b/>
                <w:sz w:val="20"/>
                <w:szCs w:val="20"/>
              </w:rPr>
              <w:t>ABSTRAK</w:t>
            </w:r>
          </w:p>
        </w:tc>
      </w:tr>
      <w:tr w:rsidR="000A19C5">
        <w:tc>
          <w:tcPr>
            <w:tcW w:w="2880" w:type="dxa"/>
            <w:vMerge/>
            <w:tcBorders>
              <w:top w:val="single" w:sz="4" w:space="0" w:color="000000"/>
              <w:left w:val="nil"/>
              <w:bottom w:val="single" w:sz="4" w:space="0" w:color="000000"/>
              <w:right w:val="nil"/>
            </w:tcBorders>
          </w:tcPr>
          <w:p w:rsidR="000A19C5" w:rsidRDefault="000A19C5">
            <w:pPr>
              <w:widowControl w:val="0"/>
              <w:pBdr>
                <w:top w:val="nil"/>
                <w:left w:val="nil"/>
                <w:bottom w:val="nil"/>
                <w:right w:val="nil"/>
                <w:between w:val="nil"/>
              </w:pBdr>
              <w:spacing w:line="276" w:lineRule="auto"/>
              <w:rPr>
                <w:b/>
                <w:sz w:val="20"/>
                <w:szCs w:val="20"/>
              </w:rPr>
            </w:pPr>
          </w:p>
        </w:tc>
        <w:tc>
          <w:tcPr>
            <w:tcW w:w="6300" w:type="dxa"/>
            <w:tcBorders>
              <w:top w:val="single" w:sz="4" w:space="0" w:color="000000"/>
              <w:left w:val="nil"/>
              <w:bottom w:val="single" w:sz="4" w:space="0" w:color="000000"/>
              <w:right w:val="nil"/>
            </w:tcBorders>
          </w:tcPr>
          <w:p w:rsidR="000A19C5" w:rsidRDefault="003B50AC" w:rsidP="00044B21">
            <w:pPr>
              <w:jc w:val="both"/>
              <w:rPr>
                <w:bCs/>
                <w:sz w:val="20"/>
                <w:szCs w:val="20"/>
              </w:rPr>
            </w:pPr>
            <w:r w:rsidRPr="009E20DD">
              <w:rPr>
                <w:b/>
                <w:bCs/>
                <w:sz w:val="20"/>
                <w:szCs w:val="20"/>
                <w:lang w:val="id-ID"/>
              </w:rPr>
              <w:t>Latar Belakang:</w:t>
            </w:r>
            <w:r>
              <w:rPr>
                <w:bCs/>
                <w:sz w:val="20"/>
                <w:szCs w:val="20"/>
                <w:lang w:val="id-ID"/>
              </w:rPr>
              <w:t xml:space="preserve"> </w:t>
            </w:r>
            <w:r w:rsidR="00044B21" w:rsidRPr="00044B21">
              <w:rPr>
                <w:bCs/>
                <w:sz w:val="20"/>
                <w:szCs w:val="20"/>
                <w:lang w:val="id-ID"/>
              </w:rPr>
              <w:t>Masih tingginya k</w:t>
            </w:r>
            <w:r>
              <w:rPr>
                <w:bCs/>
                <w:sz w:val="20"/>
                <w:szCs w:val="20"/>
                <w:lang w:val="id-ID"/>
              </w:rPr>
              <w:t>asus pemasungan terhadap Orang d</w:t>
            </w:r>
            <w:r w:rsidR="00044B21" w:rsidRPr="00044B21">
              <w:rPr>
                <w:bCs/>
                <w:sz w:val="20"/>
                <w:szCs w:val="20"/>
                <w:lang w:val="id-ID"/>
              </w:rPr>
              <w:t xml:space="preserve">engan Gangguan Jiwa (ODGJ) menunjukkan bahwa empati masyarakat dalam memperlakukan ODGJ secara manusiawi masih perlu ditingkatkan. Berbagai faktor diduga memengaruhi empati tersebut, seperti sosial budaya, pengetahuan, ekonomi, dan lingkungan. Penelitian ini bertujuan untuk mengetahui faktor-faktor yang memengaruhi empati masyarakat dalam perilaku memanusiakan ODGJ pasung di wilayah kerja Puskesmas Ranuyoso. </w:t>
            </w:r>
            <w:r w:rsidRPr="009E20DD">
              <w:rPr>
                <w:b/>
                <w:bCs/>
                <w:sz w:val="20"/>
                <w:szCs w:val="20"/>
                <w:lang w:val="id-ID"/>
              </w:rPr>
              <w:t>Metode:</w:t>
            </w:r>
            <w:r>
              <w:rPr>
                <w:bCs/>
                <w:sz w:val="20"/>
                <w:szCs w:val="20"/>
                <w:lang w:val="id-ID"/>
              </w:rPr>
              <w:t xml:space="preserve"> </w:t>
            </w:r>
            <w:r w:rsidR="00044B21" w:rsidRPr="00044B21">
              <w:rPr>
                <w:bCs/>
                <w:sz w:val="20"/>
                <w:szCs w:val="20"/>
                <w:lang w:val="id-ID"/>
              </w:rPr>
              <w:t xml:space="preserve">Penelitian ini menggunakan pendekatan kuantitatif dengan desain analitik korelatif melalui metode cross sectional. Sampel berjumlah 80 responden yang dipilih secara purposive sampling, yaitu masyarakat yang tinggal dekat dengan pasien ODGJ pasung. Data dikumpulkan menggunakan kuesioner, kemudian dianalisis secara bivariat menggunakan uji Fisher’s Exact Test dan multivariat menggunakan regresi linier berganda. </w:t>
            </w:r>
            <w:r w:rsidR="00044B21" w:rsidRPr="009E20DD">
              <w:rPr>
                <w:b/>
                <w:bCs/>
                <w:sz w:val="20"/>
                <w:szCs w:val="20"/>
                <w:lang w:val="id-ID"/>
              </w:rPr>
              <w:t>Hasil</w:t>
            </w:r>
            <w:r w:rsidRPr="009E20DD">
              <w:rPr>
                <w:b/>
                <w:bCs/>
                <w:sz w:val="20"/>
                <w:szCs w:val="20"/>
                <w:lang w:val="id-ID"/>
              </w:rPr>
              <w:t>:</w:t>
            </w:r>
            <w:r>
              <w:rPr>
                <w:bCs/>
                <w:sz w:val="20"/>
                <w:szCs w:val="20"/>
                <w:lang w:val="id-ID"/>
              </w:rPr>
              <w:t xml:space="preserve"> P</w:t>
            </w:r>
            <w:r w:rsidR="00044B21" w:rsidRPr="00044B21">
              <w:rPr>
                <w:bCs/>
                <w:sz w:val="20"/>
                <w:szCs w:val="20"/>
                <w:lang w:val="id-ID"/>
              </w:rPr>
              <w:t>enelitian menunjukkan bahwa sebagian besar responden memiliki sosial budaya baik (77,5%), pengetahuan baik (82,5%), penghasilan di bawah UMR (90%), lingkungan baik (77,5%), dan empati tinggi (80%). Hasil uji Fisher’s Exact Test menunjukkan bahwa keempat faktor tersebut memiliki hubungan yang signifikan terhadap empati</w:t>
            </w:r>
            <w:r>
              <w:rPr>
                <w:bCs/>
                <w:sz w:val="20"/>
                <w:szCs w:val="20"/>
                <w:lang w:val="id-ID"/>
              </w:rPr>
              <w:t xml:space="preserve"> masyarakat (p &lt; 0,05). H</w:t>
            </w:r>
            <w:r w:rsidR="00044B21" w:rsidRPr="00044B21">
              <w:rPr>
                <w:bCs/>
                <w:sz w:val="20"/>
                <w:szCs w:val="20"/>
                <w:lang w:val="id-ID"/>
              </w:rPr>
              <w:t xml:space="preserve">asil analisis multivariat menunjukkan bahwa hanya faktor lingkungan yang berpengaruh secara signifikan terhadap empati masyarakat (p = 0,000; β = 0,610), yang menunjukkan bahwa lingkungan merupakan faktor dominan. </w:t>
            </w:r>
            <w:r w:rsidRPr="009E20DD">
              <w:rPr>
                <w:b/>
                <w:bCs/>
                <w:sz w:val="20"/>
                <w:szCs w:val="20"/>
                <w:lang w:val="id-ID"/>
              </w:rPr>
              <w:t>Kesimpulan:</w:t>
            </w:r>
            <w:r>
              <w:rPr>
                <w:bCs/>
                <w:sz w:val="20"/>
                <w:szCs w:val="20"/>
                <w:lang w:val="id-ID"/>
              </w:rPr>
              <w:t xml:space="preserve"> P</w:t>
            </w:r>
            <w:r w:rsidR="00044B21" w:rsidRPr="00044B21">
              <w:rPr>
                <w:bCs/>
                <w:sz w:val="20"/>
                <w:szCs w:val="20"/>
                <w:lang w:val="id-ID"/>
              </w:rPr>
              <w:t>enelitian menunjukkan bahwa meskipun faktor sosial budaya, pengetahuan, ekonomi, dan lingkungan secara bivariat memiliki hubungan signifikan dengan empati masyarakat terhadap ODGJ pasung, namun analisis multivariat mengidentifikasi bahwa hanya faktor lingkungan yang berpengaruh secara signifikan. Hal ini menegaskan bahwa lingkungan yang mendukung memainkan peran dominan dalam membentuk empati masyarakat untuk memperlakukan ODGJ secara lebih manusiawi.</w:t>
            </w:r>
          </w:p>
          <w:p w:rsidR="009E20DD" w:rsidRPr="009E20DD" w:rsidRDefault="009E20DD" w:rsidP="00044B21">
            <w:pPr>
              <w:jc w:val="both"/>
              <w:rPr>
                <w:bCs/>
                <w:sz w:val="20"/>
                <w:szCs w:val="20"/>
              </w:rPr>
            </w:pPr>
          </w:p>
        </w:tc>
      </w:tr>
      <w:tr w:rsidR="000A19C5">
        <w:trPr>
          <w:trHeight w:val="184"/>
        </w:trPr>
        <w:tc>
          <w:tcPr>
            <w:tcW w:w="2880" w:type="dxa"/>
            <w:vMerge w:val="restart"/>
            <w:tcBorders>
              <w:top w:val="single" w:sz="4" w:space="0" w:color="000000"/>
              <w:left w:val="nil"/>
              <w:bottom w:val="single" w:sz="4" w:space="0" w:color="000000"/>
              <w:right w:val="nil"/>
            </w:tcBorders>
          </w:tcPr>
          <w:p w:rsidR="000A19C5" w:rsidRDefault="00A647AE">
            <w:pPr>
              <w:jc w:val="both"/>
              <w:rPr>
                <w:sz w:val="20"/>
                <w:szCs w:val="20"/>
              </w:rPr>
            </w:pPr>
            <w:r>
              <w:rPr>
                <w:b/>
                <w:i/>
                <w:sz w:val="20"/>
                <w:szCs w:val="20"/>
              </w:rPr>
              <w:t>Keyword</w:t>
            </w:r>
            <w:r>
              <w:rPr>
                <w:b/>
                <w:sz w:val="20"/>
                <w:szCs w:val="20"/>
              </w:rPr>
              <w:t>:</w:t>
            </w:r>
            <w:r>
              <w:rPr>
                <w:sz w:val="20"/>
                <w:szCs w:val="20"/>
              </w:rPr>
              <w:t xml:space="preserve"> </w:t>
            </w:r>
          </w:p>
          <w:p w:rsidR="000A19C5" w:rsidRDefault="00044B21" w:rsidP="00317B6B">
            <w:pPr>
              <w:jc w:val="both"/>
              <w:rPr>
                <w:b/>
                <w:sz w:val="20"/>
                <w:szCs w:val="20"/>
              </w:rPr>
            </w:pPr>
            <w:r w:rsidRPr="00044B21">
              <w:rPr>
                <w:i/>
                <w:iCs/>
                <w:sz w:val="20"/>
                <w:szCs w:val="20"/>
                <w:lang w:val="id-ID"/>
              </w:rPr>
              <w:t>empathy, shackled ODGJ, environment, socio-cultural, knowledge</w:t>
            </w:r>
          </w:p>
        </w:tc>
        <w:tc>
          <w:tcPr>
            <w:tcW w:w="6300" w:type="dxa"/>
            <w:tcBorders>
              <w:top w:val="single" w:sz="4" w:space="0" w:color="000000"/>
              <w:left w:val="nil"/>
              <w:bottom w:val="single" w:sz="4" w:space="0" w:color="000000"/>
              <w:right w:val="nil"/>
            </w:tcBorders>
          </w:tcPr>
          <w:p w:rsidR="000A19C5" w:rsidRDefault="00A647AE">
            <w:pPr>
              <w:jc w:val="both"/>
              <w:rPr>
                <w:b/>
                <w:i/>
                <w:sz w:val="20"/>
                <w:szCs w:val="20"/>
              </w:rPr>
            </w:pPr>
            <w:r>
              <w:rPr>
                <w:b/>
                <w:i/>
                <w:sz w:val="20"/>
                <w:szCs w:val="20"/>
              </w:rPr>
              <w:t>ABSTRACT</w:t>
            </w:r>
          </w:p>
        </w:tc>
      </w:tr>
      <w:tr w:rsidR="000A19C5">
        <w:tc>
          <w:tcPr>
            <w:tcW w:w="2880" w:type="dxa"/>
            <w:vMerge/>
            <w:tcBorders>
              <w:top w:val="single" w:sz="4" w:space="0" w:color="000000"/>
              <w:left w:val="nil"/>
              <w:bottom w:val="single" w:sz="4" w:space="0" w:color="000000"/>
              <w:right w:val="nil"/>
            </w:tcBorders>
          </w:tcPr>
          <w:p w:rsidR="000A19C5" w:rsidRDefault="000A19C5">
            <w:pPr>
              <w:widowControl w:val="0"/>
              <w:pBdr>
                <w:top w:val="nil"/>
                <w:left w:val="nil"/>
                <w:bottom w:val="nil"/>
                <w:right w:val="nil"/>
                <w:between w:val="nil"/>
              </w:pBdr>
              <w:spacing w:line="276" w:lineRule="auto"/>
              <w:rPr>
                <w:b/>
                <w:sz w:val="20"/>
                <w:szCs w:val="20"/>
              </w:rPr>
            </w:pPr>
          </w:p>
        </w:tc>
        <w:tc>
          <w:tcPr>
            <w:tcW w:w="6300" w:type="dxa"/>
            <w:tcBorders>
              <w:top w:val="single" w:sz="4" w:space="0" w:color="000000"/>
              <w:left w:val="nil"/>
              <w:bottom w:val="single" w:sz="4" w:space="0" w:color="000000"/>
              <w:right w:val="nil"/>
            </w:tcBorders>
          </w:tcPr>
          <w:p w:rsidR="00E43FD2" w:rsidRPr="00044B21" w:rsidRDefault="003B50AC" w:rsidP="009E20DD">
            <w:pPr>
              <w:tabs>
                <w:tab w:val="left" w:pos="567"/>
              </w:tabs>
              <w:ind w:left="-125" w:right="-102"/>
              <w:jc w:val="both"/>
              <w:rPr>
                <w:i/>
                <w:iCs/>
                <w:sz w:val="20"/>
                <w:szCs w:val="20"/>
                <w:lang w:val="id-ID"/>
              </w:rPr>
            </w:pPr>
            <w:r w:rsidRPr="009E20DD">
              <w:rPr>
                <w:b/>
                <w:i/>
                <w:iCs/>
                <w:sz w:val="20"/>
                <w:szCs w:val="20"/>
                <w:lang w:val="id-ID"/>
              </w:rPr>
              <w:t>Background:</w:t>
            </w:r>
            <w:r>
              <w:rPr>
                <w:i/>
                <w:iCs/>
                <w:sz w:val="20"/>
                <w:szCs w:val="20"/>
                <w:lang w:val="id-ID"/>
              </w:rPr>
              <w:t xml:space="preserve"> </w:t>
            </w:r>
            <w:r w:rsidR="00044B21" w:rsidRPr="00044B21">
              <w:rPr>
                <w:i/>
                <w:iCs/>
                <w:sz w:val="20"/>
                <w:szCs w:val="20"/>
                <w:lang w:val="id-ID"/>
              </w:rPr>
              <w:t>The high incidence of shackling (pasung) of people with mental disorders (ODGJ) indicates that public empathy in treating ODGJ humanely still needs to be improved. Various factors are suspected to influence this empathy, such as sociocultural conditions, knowledge, economic status, and environmental factors. This study aims to identify the factors that influence public empathy in humanizing the treatment of shackled ODGJ in the working</w:t>
            </w:r>
            <w:r w:rsidR="009E20DD">
              <w:rPr>
                <w:i/>
                <w:iCs/>
                <w:sz w:val="20"/>
                <w:szCs w:val="20"/>
                <w:lang w:val="id-ID"/>
              </w:rPr>
              <w:t xml:space="preserve"> area of Ranuyoso Health Center</w:t>
            </w:r>
            <w:r w:rsidR="009E20DD" w:rsidRPr="009E20DD">
              <w:rPr>
                <w:b/>
                <w:i/>
                <w:iCs/>
                <w:sz w:val="20"/>
                <w:szCs w:val="20"/>
              </w:rPr>
              <w:t xml:space="preserve">. </w:t>
            </w:r>
            <w:r w:rsidRPr="009E20DD">
              <w:rPr>
                <w:b/>
                <w:i/>
                <w:iCs/>
                <w:sz w:val="20"/>
                <w:szCs w:val="20"/>
                <w:lang w:val="id-ID"/>
              </w:rPr>
              <w:t>Method:</w:t>
            </w:r>
            <w:r>
              <w:rPr>
                <w:i/>
                <w:iCs/>
                <w:sz w:val="20"/>
                <w:szCs w:val="20"/>
                <w:lang w:val="id-ID"/>
              </w:rPr>
              <w:t xml:space="preserve"> </w:t>
            </w:r>
            <w:r w:rsidR="00044B21" w:rsidRPr="00044B21">
              <w:rPr>
                <w:i/>
                <w:iCs/>
                <w:sz w:val="20"/>
                <w:szCs w:val="20"/>
                <w:lang w:val="id-ID"/>
              </w:rPr>
              <w:t xml:space="preserve">This research employed a quantitative approach with a correlational analytic design using a cross-sectional method. A total of 80 respondents were selected through purposive sampling, consisting of community members living near individuals with </w:t>
            </w:r>
            <w:r w:rsidR="00044B21" w:rsidRPr="00044B21">
              <w:rPr>
                <w:i/>
                <w:iCs/>
                <w:sz w:val="20"/>
                <w:szCs w:val="20"/>
                <w:lang w:val="id-ID"/>
              </w:rPr>
              <w:lastRenderedPageBreak/>
              <w:t xml:space="preserve">mental disorders under pasung. Data were collected using a questionnaire and analyzed using bivariate analysis with Fisher’s Exact Test and multivariate analysis </w:t>
            </w:r>
            <w:r w:rsidR="009E20DD">
              <w:rPr>
                <w:i/>
                <w:iCs/>
                <w:sz w:val="20"/>
                <w:szCs w:val="20"/>
                <w:lang w:val="id-ID"/>
              </w:rPr>
              <w:t>with multiple linear regression</w:t>
            </w:r>
            <w:r w:rsidR="009E20DD">
              <w:rPr>
                <w:i/>
                <w:iCs/>
                <w:sz w:val="20"/>
                <w:szCs w:val="20"/>
              </w:rPr>
              <w:t xml:space="preserve">. </w:t>
            </w:r>
            <w:r w:rsidR="00044B21" w:rsidRPr="009E20DD">
              <w:rPr>
                <w:b/>
                <w:i/>
                <w:iCs/>
                <w:sz w:val="20"/>
                <w:szCs w:val="20"/>
                <w:lang w:val="id-ID"/>
              </w:rPr>
              <w:t>The results</w:t>
            </w:r>
            <w:r w:rsidR="00044B21" w:rsidRPr="00044B21">
              <w:rPr>
                <w:i/>
                <w:iCs/>
                <w:sz w:val="20"/>
                <w:szCs w:val="20"/>
                <w:lang w:val="id-ID"/>
              </w:rPr>
              <w:t xml:space="preserve"> showed that most respondents had good sociocultural understanding (77.5%), good knowledge (82.5%), income below the regional minimum wage (90%), supportive environments (77.5%), a</w:t>
            </w:r>
            <w:r w:rsidR="009E20DD">
              <w:rPr>
                <w:i/>
                <w:iCs/>
                <w:sz w:val="20"/>
                <w:szCs w:val="20"/>
                <w:lang w:val="id-ID"/>
              </w:rPr>
              <w:t>nd high levels of empathy (80%)</w:t>
            </w:r>
            <w:r w:rsidR="009E20DD">
              <w:rPr>
                <w:i/>
                <w:iCs/>
                <w:sz w:val="20"/>
                <w:szCs w:val="20"/>
              </w:rPr>
              <w:t xml:space="preserve">. </w:t>
            </w:r>
            <w:r w:rsidR="00044B21" w:rsidRPr="00044B21">
              <w:rPr>
                <w:i/>
                <w:iCs/>
                <w:sz w:val="20"/>
                <w:szCs w:val="20"/>
                <w:lang w:val="id-ID"/>
              </w:rPr>
              <w:t>The Fisher’s Exact Test revealed that all four factors—sociocultural, knowledge, economic, and environmental—were significantly associated with public empathy (p &lt; 0.05). However, multivariate analysis indicated that only the environmental factor had a significant influence on public empathy (p = 0.000; β = 0.610), suggesting that the environment is the dominant factor.</w:t>
            </w:r>
            <w:r w:rsidR="009E20DD">
              <w:rPr>
                <w:i/>
                <w:iCs/>
                <w:sz w:val="20"/>
                <w:szCs w:val="20"/>
              </w:rPr>
              <w:t xml:space="preserve">    </w:t>
            </w:r>
            <w:r w:rsidR="00044B21" w:rsidRPr="009E20DD">
              <w:rPr>
                <w:b/>
                <w:i/>
                <w:iCs/>
                <w:sz w:val="20"/>
                <w:szCs w:val="20"/>
                <w:lang w:val="id-ID"/>
              </w:rPr>
              <w:t>In conclusion</w:t>
            </w:r>
            <w:r w:rsidR="00044B21" w:rsidRPr="00044B21">
              <w:rPr>
                <w:i/>
                <w:iCs/>
                <w:sz w:val="20"/>
                <w:szCs w:val="20"/>
                <w:lang w:val="id-ID"/>
              </w:rPr>
              <w:t>, while the sociocultural, knowledge, economic, and environmental factors were all significantly associated with public empathy toward shackled ODGJ in the bivariate analysis, the multivariate analysis identified the environment as the only significant influencing factor. This highlights the dominant role of a supportive environment in fostering public empathy and promoting more humane treatment of individuals with mental disorders.</w:t>
            </w:r>
          </w:p>
        </w:tc>
      </w:tr>
      <w:tr w:rsidR="000A19C5">
        <w:tc>
          <w:tcPr>
            <w:tcW w:w="9180" w:type="dxa"/>
            <w:gridSpan w:val="2"/>
            <w:tcBorders>
              <w:top w:val="single" w:sz="4" w:space="0" w:color="000000"/>
              <w:left w:val="nil"/>
              <w:bottom w:val="single" w:sz="4" w:space="0" w:color="000000"/>
              <w:right w:val="nil"/>
            </w:tcBorders>
          </w:tcPr>
          <w:p w:rsidR="000A19C5" w:rsidRPr="003B50AC" w:rsidRDefault="00A647AE">
            <w:pPr>
              <w:tabs>
                <w:tab w:val="left" w:pos="567"/>
              </w:tabs>
              <w:rPr>
                <w:b/>
                <w:i/>
                <w:sz w:val="20"/>
                <w:szCs w:val="20"/>
                <w:lang w:val="id-ID"/>
              </w:rPr>
            </w:pPr>
            <w:r>
              <w:rPr>
                <w:b/>
                <w:i/>
                <w:sz w:val="20"/>
                <w:szCs w:val="20"/>
              </w:rPr>
              <w:lastRenderedPageBreak/>
              <w:t>Corresponding Author:</w:t>
            </w:r>
          </w:p>
          <w:p w:rsidR="000A19C5" w:rsidRPr="003B50AC" w:rsidRDefault="00044B21">
            <w:pPr>
              <w:tabs>
                <w:tab w:val="left" w:pos="567"/>
              </w:tabs>
              <w:rPr>
                <w:sz w:val="20"/>
                <w:szCs w:val="20"/>
                <w:lang w:val="id-ID"/>
              </w:rPr>
            </w:pPr>
            <w:r w:rsidRPr="003B50AC">
              <w:rPr>
                <w:bCs/>
                <w:sz w:val="20"/>
                <w:szCs w:val="20"/>
              </w:rPr>
              <w:t>Donie Indra Ihwahyudy</w:t>
            </w:r>
          </w:p>
          <w:p w:rsidR="000A19C5" w:rsidRPr="003B50AC" w:rsidRDefault="00A647AE">
            <w:pPr>
              <w:jc w:val="both"/>
              <w:rPr>
                <w:sz w:val="20"/>
                <w:szCs w:val="20"/>
                <w:lang w:val="id-ID"/>
              </w:rPr>
            </w:pPr>
            <w:r w:rsidRPr="00317B6B">
              <w:rPr>
                <w:sz w:val="20"/>
                <w:szCs w:val="20"/>
              </w:rPr>
              <w:t xml:space="preserve">Email: </w:t>
            </w:r>
            <w:hyperlink r:id="rId9" w:history="1">
              <w:r w:rsidR="002235BC" w:rsidRPr="003B50AC">
                <w:rPr>
                  <w:rStyle w:val="Hyperlink"/>
                  <w:color w:val="auto"/>
                  <w:sz w:val="20"/>
                  <w:szCs w:val="20"/>
                  <w:u w:val="none"/>
                  <w:lang w:val="id-ID"/>
                </w:rPr>
                <w:t>donieindraihwahyudy</w:t>
              </w:r>
              <w:r w:rsidR="002235BC" w:rsidRPr="003B50AC">
                <w:rPr>
                  <w:rStyle w:val="Hyperlink"/>
                  <w:color w:val="auto"/>
                  <w:sz w:val="20"/>
                  <w:szCs w:val="20"/>
                  <w:u w:val="none"/>
                </w:rPr>
                <w:t>@gmail.com</w:t>
              </w:r>
            </w:hyperlink>
            <w:r w:rsidR="00A02416" w:rsidRPr="003B50AC">
              <w:rPr>
                <w:sz w:val="20"/>
                <w:szCs w:val="20"/>
                <w:lang w:val="id-ID"/>
              </w:rPr>
              <w:t xml:space="preserve"> </w:t>
            </w:r>
            <w:r w:rsidR="00582959" w:rsidRPr="003B50AC">
              <w:rPr>
                <w:sz w:val="20"/>
                <w:szCs w:val="20"/>
                <w:lang w:val="id-ID"/>
              </w:rPr>
              <w:t xml:space="preserve"> </w:t>
            </w:r>
            <w:r w:rsidR="00E43FD2" w:rsidRPr="003B50AC">
              <w:rPr>
                <w:sz w:val="20"/>
                <w:szCs w:val="20"/>
                <w:lang w:val="id-ID"/>
              </w:rPr>
              <w:t xml:space="preserve"> </w:t>
            </w:r>
            <w:r w:rsidR="006D51E2" w:rsidRPr="003B50AC">
              <w:rPr>
                <w:sz w:val="20"/>
                <w:szCs w:val="20"/>
                <w:lang w:val="id-ID"/>
              </w:rPr>
              <w:t xml:space="preserve"> </w:t>
            </w:r>
          </w:p>
        </w:tc>
      </w:tr>
      <w:tr w:rsidR="000A19C5">
        <w:tc>
          <w:tcPr>
            <w:tcW w:w="9180" w:type="dxa"/>
            <w:gridSpan w:val="2"/>
            <w:tcBorders>
              <w:top w:val="single" w:sz="4" w:space="0" w:color="000000"/>
              <w:left w:val="nil"/>
              <w:bottom w:val="single" w:sz="4" w:space="0" w:color="000000"/>
              <w:right w:val="nil"/>
            </w:tcBorders>
          </w:tcPr>
          <w:p w:rsidR="000A19C5" w:rsidRDefault="00A647AE">
            <w:pPr>
              <w:rPr>
                <w:b/>
                <w:i/>
                <w:sz w:val="20"/>
                <w:szCs w:val="20"/>
              </w:rPr>
            </w:pPr>
            <w:r>
              <w:rPr>
                <w:b/>
                <w:i/>
                <w:sz w:val="20"/>
                <w:szCs w:val="20"/>
              </w:rPr>
              <w:t>Article history</w:t>
            </w:r>
          </w:p>
          <w:p w:rsidR="000A19C5" w:rsidRPr="003B50AC" w:rsidRDefault="00A647AE">
            <w:pPr>
              <w:pStyle w:val="Subtitle"/>
              <w:spacing w:after="0"/>
              <w:jc w:val="left"/>
              <w:rPr>
                <w:rFonts w:ascii="Times New Roman" w:eastAsia="Times New Roman" w:hAnsi="Times New Roman" w:cs="Times New Roman"/>
                <w:sz w:val="20"/>
                <w:szCs w:val="20"/>
                <w:lang w:val="id-ID"/>
              </w:rPr>
            </w:pPr>
            <w:proofErr w:type="gramStart"/>
            <w:r>
              <w:rPr>
                <w:rFonts w:ascii="Times New Roman" w:eastAsia="Times New Roman" w:hAnsi="Times New Roman" w:cs="Times New Roman"/>
                <w:sz w:val="20"/>
                <w:szCs w:val="20"/>
              </w:rPr>
              <w:t>Received  date</w:t>
            </w:r>
            <w:proofErr w:type="gramEnd"/>
            <w:r>
              <w:rPr>
                <w:rFonts w:ascii="Times New Roman" w:eastAsia="Times New Roman" w:hAnsi="Times New Roman" w:cs="Times New Roman"/>
                <w:sz w:val="20"/>
                <w:szCs w:val="20"/>
              </w:rPr>
              <w:t xml:space="preserve"> :</w:t>
            </w:r>
            <w:r w:rsidR="003B50AC">
              <w:rPr>
                <w:rFonts w:ascii="Times New Roman" w:eastAsia="Times New Roman" w:hAnsi="Times New Roman" w:cs="Times New Roman"/>
                <w:sz w:val="20"/>
                <w:szCs w:val="20"/>
                <w:lang w:val="id-ID"/>
              </w:rPr>
              <w:t xml:space="preserve"> 15 Januari 2026</w:t>
            </w:r>
          </w:p>
          <w:p w:rsidR="000A19C5" w:rsidRDefault="003B50AC">
            <w:pPr>
              <w:pStyle w:val="Subtitle"/>
              <w:spacing w:after="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w:t>
            </w:r>
            <w:proofErr w:type="gramStart"/>
            <w:r>
              <w:rPr>
                <w:rFonts w:ascii="Times New Roman" w:eastAsia="Times New Roman" w:hAnsi="Times New Roman" w:cs="Times New Roman"/>
                <w:sz w:val="20"/>
                <w:szCs w:val="20"/>
              </w:rPr>
              <w:t>date  :</w:t>
            </w:r>
            <w:proofErr w:type="gramEnd"/>
            <w:r>
              <w:rPr>
                <w:rFonts w:ascii="Times New Roman" w:eastAsia="Times New Roman" w:hAnsi="Times New Roman" w:cs="Times New Roman"/>
                <w:sz w:val="20"/>
                <w:szCs w:val="20"/>
              </w:rPr>
              <w:t xml:space="preserve">   </w:t>
            </w:r>
            <w:r w:rsidR="009E20DD">
              <w:rPr>
                <w:rFonts w:ascii="Times New Roman" w:eastAsia="Times New Roman" w:hAnsi="Times New Roman" w:cs="Times New Roman"/>
                <w:sz w:val="20"/>
                <w:szCs w:val="20"/>
              </w:rPr>
              <w:t xml:space="preserve">5 Februari </w:t>
            </w:r>
            <w:r>
              <w:rPr>
                <w:rFonts w:ascii="Times New Roman" w:eastAsia="Times New Roman" w:hAnsi="Times New Roman" w:cs="Times New Roman"/>
                <w:sz w:val="20"/>
                <w:szCs w:val="20"/>
                <w:lang w:val="id-ID"/>
              </w:rPr>
              <w:t>2026</w:t>
            </w:r>
            <w:r w:rsidR="00A647AE">
              <w:rPr>
                <w:rFonts w:ascii="Times New Roman" w:eastAsia="Times New Roman" w:hAnsi="Times New Roman" w:cs="Times New Roman"/>
                <w:sz w:val="20"/>
                <w:szCs w:val="20"/>
              </w:rPr>
              <w:t xml:space="preserve">       </w:t>
            </w:r>
          </w:p>
          <w:p w:rsidR="000A19C5" w:rsidRDefault="00A647AE">
            <w:pPr>
              <w:tabs>
                <w:tab w:val="left" w:pos="567"/>
              </w:tabs>
              <w:rPr>
                <w:sz w:val="20"/>
                <w:szCs w:val="20"/>
              </w:rPr>
            </w:pPr>
            <w:r>
              <w:rPr>
                <w:sz w:val="20"/>
                <w:szCs w:val="20"/>
              </w:rPr>
              <w:t xml:space="preserve">Accepted date : </w:t>
            </w:r>
            <w:r w:rsidR="009E20DD">
              <w:rPr>
                <w:sz w:val="20"/>
                <w:szCs w:val="20"/>
              </w:rPr>
              <w:t>1 Maret 2026</w:t>
            </w:r>
          </w:p>
          <w:p w:rsidR="009E20DD" w:rsidRDefault="009E20DD">
            <w:pPr>
              <w:tabs>
                <w:tab w:val="left" w:pos="567"/>
              </w:tabs>
              <w:rPr>
                <w:b/>
                <w:i/>
                <w:sz w:val="20"/>
                <w:szCs w:val="20"/>
              </w:rPr>
            </w:pPr>
          </w:p>
        </w:tc>
      </w:tr>
    </w:tbl>
    <w:p w:rsidR="000A19C5" w:rsidRDefault="000A19C5">
      <w:pPr>
        <w:sectPr w:rsidR="000A19C5" w:rsidSect="009E20DD">
          <w:headerReference w:type="even" r:id="rId10"/>
          <w:headerReference w:type="default" r:id="rId11"/>
          <w:footerReference w:type="default" r:id="rId12"/>
          <w:headerReference w:type="first" r:id="rId13"/>
          <w:pgSz w:w="11907" w:h="16839"/>
          <w:pgMar w:top="864" w:right="1138" w:bottom="1138" w:left="1701" w:header="706" w:footer="706" w:gutter="0"/>
          <w:pgNumType w:start="116"/>
          <w:cols w:space="720"/>
          <w:titlePg/>
        </w:sectPr>
      </w:pPr>
    </w:p>
    <w:p w:rsidR="000A19C5" w:rsidRDefault="00A647AE">
      <w:pPr>
        <w:jc w:val="both"/>
        <w:rPr>
          <w:b/>
          <w:sz w:val="22"/>
          <w:szCs w:val="22"/>
        </w:rPr>
      </w:pPr>
      <w:r>
        <w:rPr>
          <w:b/>
          <w:sz w:val="22"/>
          <w:szCs w:val="22"/>
        </w:rPr>
        <w:lastRenderedPageBreak/>
        <w:t>PENDAHULUAN</w:t>
      </w:r>
    </w:p>
    <w:p w:rsidR="003B50AC" w:rsidRDefault="003B50AC" w:rsidP="00044B21">
      <w:pPr>
        <w:ind w:firstLine="709"/>
        <w:jc w:val="both"/>
        <w:rPr>
          <w:sz w:val="22"/>
          <w:szCs w:val="22"/>
          <w:lang w:val="id-ID"/>
        </w:rPr>
      </w:pPr>
    </w:p>
    <w:p w:rsidR="00044B21" w:rsidRPr="00044B21" w:rsidRDefault="00044B21" w:rsidP="00044B21">
      <w:pPr>
        <w:ind w:firstLine="709"/>
        <w:jc w:val="both"/>
        <w:rPr>
          <w:sz w:val="22"/>
          <w:szCs w:val="22"/>
        </w:rPr>
      </w:pPr>
      <w:proofErr w:type="gramStart"/>
      <w:r w:rsidRPr="00044B21">
        <w:rPr>
          <w:sz w:val="22"/>
          <w:szCs w:val="22"/>
        </w:rPr>
        <w:t>Masalah kesehatan mental, khususnya praktik pemasungan terhadap Orang Dengan Gangguan Jiwa (ODGJ), masih menjadi persoalan serius di Indonesia.</w:t>
      </w:r>
      <w:proofErr w:type="gramEnd"/>
      <w:r w:rsidRPr="00044B21">
        <w:rPr>
          <w:sz w:val="22"/>
          <w:szCs w:val="22"/>
        </w:rPr>
        <w:t xml:space="preserve"> </w:t>
      </w:r>
      <w:proofErr w:type="gramStart"/>
      <w:r w:rsidRPr="00044B21">
        <w:rPr>
          <w:sz w:val="22"/>
          <w:szCs w:val="22"/>
        </w:rPr>
        <w:t>Pasung merupakan bentuk perlakuan tidak manusiawi yang melanggar hak asasi manusia dan mencerminkan rendahnya empati masyarakat terhadap ODGJ.</w:t>
      </w:r>
      <w:proofErr w:type="gramEnd"/>
      <w:r w:rsidRPr="00044B21">
        <w:rPr>
          <w:sz w:val="22"/>
          <w:szCs w:val="22"/>
        </w:rPr>
        <w:t xml:space="preserve"> </w:t>
      </w:r>
      <w:proofErr w:type="gramStart"/>
      <w:r w:rsidRPr="00044B21">
        <w:rPr>
          <w:sz w:val="22"/>
          <w:szCs w:val="22"/>
        </w:rPr>
        <w:t>Kurangnya empati berkontribusi terhadap kuatnya stigma dan rendahnya penerimaan sosial, sehingga ODGJ sering diperlakukan sebagai aib keluarga atau ancaman lingkungan.</w:t>
      </w:r>
      <w:proofErr w:type="gramEnd"/>
      <w:r w:rsidRPr="00044B21">
        <w:rPr>
          <w:sz w:val="22"/>
          <w:szCs w:val="22"/>
        </w:rPr>
        <w:t xml:space="preserve"> </w:t>
      </w:r>
      <w:proofErr w:type="gramStart"/>
      <w:r w:rsidRPr="00044B21">
        <w:rPr>
          <w:sz w:val="22"/>
          <w:szCs w:val="22"/>
        </w:rPr>
        <w:t>Empati masyarakat menjadi faktor kunci dalam upaya memanusiakan ODGJ dan mencegah praktik pasung (Smith, 2020).</w:t>
      </w:r>
      <w:proofErr w:type="gramEnd"/>
    </w:p>
    <w:p w:rsidR="00044B21" w:rsidRPr="00044B21" w:rsidRDefault="00044B21" w:rsidP="00044B21">
      <w:pPr>
        <w:ind w:firstLine="709"/>
        <w:jc w:val="both"/>
        <w:rPr>
          <w:sz w:val="22"/>
          <w:szCs w:val="22"/>
        </w:rPr>
      </w:pPr>
      <w:r w:rsidRPr="00044B21">
        <w:rPr>
          <w:sz w:val="22"/>
          <w:szCs w:val="22"/>
        </w:rPr>
        <w:t xml:space="preserve">Empati masyarakat dalam memperlakukan ODGJ dipengaruhi oleh berbagai faktor, antara lain sosial budaya, tingkat pengetahuan, kondisi ekonomi, serta lingkungan. </w:t>
      </w:r>
      <w:proofErr w:type="gramStart"/>
      <w:r w:rsidRPr="00044B21">
        <w:rPr>
          <w:sz w:val="22"/>
          <w:szCs w:val="22"/>
        </w:rPr>
        <w:t>Stigma negatif, minimnya pemahaman tentang gangguan jiwa sebagai kondisi medis yang dapat diobati, keterbatasan akses layanan kesehatan mental, serta beban ekonomi keluarga mendorong praktik pasung sebagai solusi cepat.</w:t>
      </w:r>
      <w:proofErr w:type="gramEnd"/>
      <w:r w:rsidRPr="00044B21">
        <w:rPr>
          <w:sz w:val="22"/>
          <w:szCs w:val="22"/>
        </w:rPr>
        <w:t xml:space="preserve"> </w:t>
      </w:r>
      <w:proofErr w:type="gramStart"/>
      <w:r w:rsidRPr="00044B21">
        <w:rPr>
          <w:sz w:val="22"/>
          <w:szCs w:val="22"/>
        </w:rPr>
        <w:t>Kondisi ini masih banyak ditemukan di wilayah pedesaan dengan keterbatasan fasilitas kesehatan jiwa (Jones, 2021).</w:t>
      </w:r>
      <w:proofErr w:type="gramEnd"/>
    </w:p>
    <w:p w:rsidR="00044B21" w:rsidRPr="00044B21" w:rsidRDefault="00044B21" w:rsidP="00044B21">
      <w:pPr>
        <w:ind w:firstLine="709"/>
        <w:jc w:val="both"/>
        <w:rPr>
          <w:sz w:val="22"/>
          <w:szCs w:val="22"/>
        </w:rPr>
      </w:pPr>
      <w:proofErr w:type="gramStart"/>
      <w:r w:rsidRPr="00044B21">
        <w:rPr>
          <w:sz w:val="22"/>
          <w:szCs w:val="22"/>
        </w:rPr>
        <w:lastRenderedPageBreak/>
        <w:t>Secara global, sekitar 20% populasi mengalami gangguan mental, dengan mayoritas berada di negara berkembang, termasuk Indonesia (WHO, 2021).</w:t>
      </w:r>
      <w:proofErr w:type="gramEnd"/>
      <w:r w:rsidRPr="00044B21">
        <w:rPr>
          <w:sz w:val="22"/>
          <w:szCs w:val="22"/>
        </w:rPr>
        <w:t xml:space="preserve"> Di Indonesia, prevalensi gangguan jiwa berat terus meningkat, dengan 14</w:t>
      </w:r>
      <w:proofErr w:type="gramStart"/>
      <w:r w:rsidRPr="00044B21">
        <w:rPr>
          <w:sz w:val="22"/>
          <w:szCs w:val="22"/>
        </w:rPr>
        <w:t>,3</w:t>
      </w:r>
      <w:proofErr w:type="gramEnd"/>
      <w:r w:rsidRPr="00044B21">
        <w:rPr>
          <w:sz w:val="22"/>
          <w:szCs w:val="22"/>
        </w:rPr>
        <w:t xml:space="preserve">% penderita pernah mengalami pasung (Sapti et al., 2021). </w:t>
      </w:r>
      <w:proofErr w:type="gramStart"/>
      <w:r w:rsidRPr="00044B21">
        <w:rPr>
          <w:sz w:val="22"/>
          <w:szCs w:val="22"/>
        </w:rPr>
        <w:t>Jawa Timur tercatat sebagai salah satu provinsi dengan prevalensi gangguan jiwa yang cukup tinggi (Kementerian Kesehatan RI, 2021).</w:t>
      </w:r>
      <w:proofErr w:type="gramEnd"/>
      <w:r w:rsidRPr="00044B21">
        <w:rPr>
          <w:sz w:val="22"/>
          <w:szCs w:val="22"/>
        </w:rPr>
        <w:t xml:space="preserve"> Di Kabupaten Lumajang, jumlah ODGJ berat mencapai 1.998 orang, dengan Kecamatan Ranuyoso memiliki 103 sasaran, namun cakupan layanan kesehatan jiwa baru mencapai 61,2% (DINKES Lumajang, 2023; Puskesmas Ranuyoso, 2023).</w:t>
      </w:r>
    </w:p>
    <w:p w:rsidR="00044B21" w:rsidRPr="00044B21" w:rsidRDefault="00044B21" w:rsidP="00044B21">
      <w:pPr>
        <w:ind w:firstLine="709"/>
        <w:jc w:val="both"/>
        <w:rPr>
          <w:sz w:val="22"/>
          <w:szCs w:val="22"/>
        </w:rPr>
      </w:pPr>
      <w:proofErr w:type="gramStart"/>
      <w:r w:rsidRPr="00044B21">
        <w:rPr>
          <w:sz w:val="22"/>
          <w:szCs w:val="22"/>
        </w:rPr>
        <w:t>Berbagai penelitian menunjukkan bahwa pemasungan masih terjadi akibat keterbatasan pilihan keluarga dan belum optimalnya program penghapusan pasung.</w:t>
      </w:r>
      <w:proofErr w:type="gramEnd"/>
      <w:r w:rsidRPr="00044B21">
        <w:rPr>
          <w:sz w:val="22"/>
          <w:szCs w:val="22"/>
        </w:rPr>
        <w:t xml:space="preserve"> </w:t>
      </w:r>
      <w:proofErr w:type="gramStart"/>
      <w:r w:rsidRPr="00044B21">
        <w:rPr>
          <w:sz w:val="22"/>
          <w:szCs w:val="22"/>
        </w:rPr>
        <w:t>Upaya yang direkomendasikan meliputi peningkatan edukasi kesehatan mental, penguatan layanan kesehatan jiwa, pendekatan berbasis komunitas, serta dukungan sosial dan ekonomi bagi keluarga ODGJ (Fitriani et al., 2022; Ahmad et al., 2023; Suryani, 2024).</w:t>
      </w:r>
      <w:proofErr w:type="gramEnd"/>
    </w:p>
    <w:p w:rsidR="00044B21" w:rsidRPr="00044B21" w:rsidRDefault="00044B21" w:rsidP="00044B21">
      <w:pPr>
        <w:ind w:firstLine="709"/>
        <w:jc w:val="both"/>
        <w:rPr>
          <w:sz w:val="22"/>
          <w:szCs w:val="22"/>
        </w:rPr>
      </w:pPr>
      <w:proofErr w:type="gramStart"/>
      <w:r w:rsidRPr="00044B21">
        <w:rPr>
          <w:sz w:val="22"/>
          <w:szCs w:val="22"/>
        </w:rPr>
        <w:t xml:space="preserve">Berdasarkan kondisi tersebut, penelitian ini bertujuan untuk menganalisis faktor-faktor yang memengaruhi empati masyarakat dalam perilaku memanusiakan </w:t>
      </w:r>
      <w:r w:rsidRPr="00044B21">
        <w:rPr>
          <w:sz w:val="22"/>
          <w:szCs w:val="22"/>
        </w:rPr>
        <w:lastRenderedPageBreak/>
        <w:t>ODGJ yang mengalami pasung di wilayah kerja Puskesmas Ranuyoso, sebagai dasar pengembangan intervensi yang lebih efektif dan berorientasi pada nilai kemanusiaan.</w:t>
      </w:r>
      <w:proofErr w:type="gramEnd"/>
    </w:p>
    <w:p w:rsidR="00F857C1" w:rsidRPr="00F857C1" w:rsidRDefault="00F857C1" w:rsidP="00F857C1">
      <w:pPr>
        <w:jc w:val="both"/>
        <w:rPr>
          <w:sz w:val="22"/>
          <w:szCs w:val="22"/>
          <w:lang w:val="id-ID"/>
        </w:rPr>
      </w:pPr>
    </w:p>
    <w:p w:rsidR="000A19C5" w:rsidRDefault="00A647AE">
      <w:pPr>
        <w:jc w:val="both"/>
        <w:rPr>
          <w:b/>
          <w:sz w:val="22"/>
          <w:szCs w:val="22"/>
        </w:rPr>
      </w:pPr>
      <w:r>
        <w:rPr>
          <w:b/>
          <w:sz w:val="22"/>
          <w:szCs w:val="22"/>
        </w:rPr>
        <w:t>METODE</w:t>
      </w:r>
    </w:p>
    <w:p w:rsidR="00AF61A1" w:rsidRPr="00AF61A1" w:rsidRDefault="00AF61A1" w:rsidP="00AF61A1">
      <w:pPr>
        <w:ind w:firstLine="720"/>
        <w:jc w:val="both"/>
        <w:rPr>
          <w:sz w:val="22"/>
          <w:szCs w:val="22"/>
        </w:rPr>
      </w:pPr>
      <w:proofErr w:type="gramStart"/>
      <w:r w:rsidRPr="00AF61A1">
        <w:rPr>
          <w:sz w:val="22"/>
          <w:szCs w:val="22"/>
        </w:rPr>
        <w:t xml:space="preserve">Penelitian ini menggunakan </w:t>
      </w:r>
      <w:r w:rsidRPr="00AF61A1">
        <w:rPr>
          <w:bCs/>
          <w:sz w:val="22"/>
          <w:szCs w:val="22"/>
        </w:rPr>
        <w:t>jenis penelitian kuantitatif dengan desain analitik observasional</w:t>
      </w:r>
      <w:r w:rsidRPr="00AF61A1">
        <w:rPr>
          <w:sz w:val="22"/>
          <w:szCs w:val="22"/>
        </w:rPr>
        <w:t xml:space="preserve"> dan pendekatan </w:t>
      </w:r>
      <w:r w:rsidRPr="00AF61A1">
        <w:rPr>
          <w:bCs/>
          <w:sz w:val="22"/>
          <w:szCs w:val="22"/>
        </w:rPr>
        <w:t>cross-sectional</w:t>
      </w:r>
      <w:r w:rsidRPr="00AF61A1">
        <w:rPr>
          <w:sz w:val="22"/>
          <w:szCs w:val="22"/>
        </w:rPr>
        <w:t>, yaitu pengukuran variabel dilakukan pada satu waktu tertentu untuk mengetahui faktor-faktor yang memengaruhi empati masyarakat dalam perilaku memanusiakan Orang Dengan Gangguan Jiwa (ODGJ) pasung.</w:t>
      </w:r>
      <w:proofErr w:type="gramEnd"/>
      <w:r w:rsidRPr="00AF61A1">
        <w:rPr>
          <w:sz w:val="22"/>
          <w:szCs w:val="22"/>
        </w:rPr>
        <w:t xml:space="preserve"> </w:t>
      </w:r>
      <w:proofErr w:type="gramStart"/>
      <w:r w:rsidRPr="00AF61A1">
        <w:rPr>
          <w:sz w:val="22"/>
          <w:szCs w:val="22"/>
        </w:rPr>
        <w:t xml:space="preserve">Penelitian dilaksanakan pada </w:t>
      </w:r>
      <w:r w:rsidRPr="00AF61A1">
        <w:rPr>
          <w:bCs/>
          <w:sz w:val="22"/>
          <w:szCs w:val="22"/>
        </w:rPr>
        <w:t>tahun 2024</w:t>
      </w:r>
      <w:r w:rsidRPr="00AF61A1">
        <w:rPr>
          <w:sz w:val="22"/>
          <w:szCs w:val="22"/>
        </w:rPr>
        <w:t xml:space="preserve"> di </w:t>
      </w:r>
      <w:r w:rsidRPr="00AF61A1">
        <w:rPr>
          <w:bCs/>
          <w:sz w:val="22"/>
          <w:szCs w:val="22"/>
        </w:rPr>
        <w:t>wilayah kerja Puskesmas Ranuyoso, Kabupaten Lumajang</w:t>
      </w:r>
      <w:r w:rsidRPr="00AF61A1">
        <w:rPr>
          <w:sz w:val="22"/>
          <w:szCs w:val="22"/>
        </w:rPr>
        <w:t>.</w:t>
      </w:r>
      <w:proofErr w:type="gramEnd"/>
    </w:p>
    <w:p w:rsidR="00AF61A1" w:rsidRPr="00AF61A1" w:rsidRDefault="00AF61A1" w:rsidP="00AF61A1">
      <w:pPr>
        <w:ind w:firstLine="720"/>
        <w:jc w:val="both"/>
        <w:rPr>
          <w:sz w:val="22"/>
          <w:szCs w:val="22"/>
        </w:rPr>
      </w:pPr>
      <w:proofErr w:type="gramStart"/>
      <w:r w:rsidRPr="00AF61A1">
        <w:rPr>
          <w:sz w:val="22"/>
          <w:szCs w:val="22"/>
        </w:rPr>
        <w:t xml:space="preserve">Target penelitian adalah </w:t>
      </w:r>
      <w:r w:rsidRPr="00AF61A1">
        <w:rPr>
          <w:bCs/>
          <w:sz w:val="22"/>
          <w:szCs w:val="22"/>
        </w:rPr>
        <w:t>masyarakat yang tinggal di wilayah kerja Puskesmas Ranuyoso</w:t>
      </w:r>
      <w:r w:rsidRPr="00AF61A1">
        <w:rPr>
          <w:sz w:val="22"/>
          <w:szCs w:val="22"/>
        </w:rPr>
        <w:t xml:space="preserve">, sedangkan subjek penelitian adalah </w:t>
      </w:r>
      <w:r w:rsidRPr="00AF61A1">
        <w:rPr>
          <w:bCs/>
          <w:sz w:val="22"/>
          <w:szCs w:val="22"/>
        </w:rPr>
        <w:t>kepala keluarga atau anggota keluarga dewasa</w:t>
      </w:r>
      <w:r w:rsidRPr="00AF61A1">
        <w:rPr>
          <w:sz w:val="22"/>
          <w:szCs w:val="22"/>
        </w:rPr>
        <w:t xml:space="preserve"> yang tinggal di lingkungan dengan keberadaan ODGJ pasung atau memiliki pengetahuan tentang keberadaan ODGJ di wilayahnya.</w:t>
      </w:r>
      <w:proofErr w:type="gramEnd"/>
      <w:r w:rsidRPr="00AF61A1">
        <w:rPr>
          <w:sz w:val="22"/>
          <w:szCs w:val="22"/>
        </w:rPr>
        <w:t xml:space="preserve"> </w:t>
      </w:r>
      <w:proofErr w:type="gramStart"/>
      <w:r w:rsidRPr="00AF61A1">
        <w:rPr>
          <w:sz w:val="22"/>
          <w:szCs w:val="22"/>
        </w:rPr>
        <w:t xml:space="preserve">Pemilihan subjek dilakukan dengan </w:t>
      </w:r>
      <w:r w:rsidRPr="00AF61A1">
        <w:rPr>
          <w:bCs/>
          <w:sz w:val="22"/>
          <w:szCs w:val="22"/>
        </w:rPr>
        <w:t>teknik purposive sampling</w:t>
      </w:r>
      <w:r w:rsidRPr="00AF61A1">
        <w:rPr>
          <w:sz w:val="22"/>
          <w:szCs w:val="22"/>
        </w:rPr>
        <w:t>, berdasarkan kriteria inklusi dan eksklusi yang telah ditetapkan.</w:t>
      </w:r>
      <w:proofErr w:type="gramEnd"/>
      <w:r w:rsidRPr="00AF61A1">
        <w:rPr>
          <w:sz w:val="22"/>
          <w:szCs w:val="22"/>
        </w:rPr>
        <w:t xml:space="preserve"> </w:t>
      </w:r>
      <w:proofErr w:type="gramStart"/>
      <w:r w:rsidRPr="00AF61A1">
        <w:rPr>
          <w:sz w:val="22"/>
          <w:szCs w:val="22"/>
        </w:rPr>
        <w:t>Jumlah sampel ditentukan sesuai dengan perhitungan besar sampel penelitian analitik.</w:t>
      </w:r>
      <w:proofErr w:type="gramEnd"/>
    </w:p>
    <w:p w:rsidR="00AF61A1" w:rsidRPr="00AF61A1" w:rsidRDefault="00AF61A1" w:rsidP="00AF61A1">
      <w:pPr>
        <w:ind w:firstLine="720"/>
        <w:jc w:val="both"/>
        <w:rPr>
          <w:sz w:val="22"/>
          <w:szCs w:val="22"/>
        </w:rPr>
      </w:pPr>
      <w:r w:rsidRPr="00AF61A1">
        <w:rPr>
          <w:sz w:val="22"/>
          <w:szCs w:val="22"/>
        </w:rPr>
        <w:t xml:space="preserve">Prosedur penelitian diawali dengan perizinan kepada instansi terkait, dilanjutkan dengan penjelasan tujuan penelitian dan pemberian informed consent kepada responden. </w:t>
      </w:r>
      <w:proofErr w:type="gramStart"/>
      <w:r w:rsidRPr="00AF61A1">
        <w:rPr>
          <w:sz w:val="22"/>
          <w:szCs w:val="22"/>
        </w:rPr>
        <w:t>Pengumpulan data dilakukan setelah responden menyatakan kesediaannya untuk berpartisipasi dalam penelitian.</w:t>
      </w:r>
      <w:proofErr w:type="gramEnd"/>
    </w:p>
    <w:p w:rsidR="00AF61A1" w:rsidRPr="00AF61A1" w:rsidRDefault="00AF61A1" w:rsidP="00AF61A1">
      <w:pPr>
        <w:ind w:firstLine="720"/>
        <w:jc w:val="both"/>
        <w:rPr>
          <w:sz w:val="22"/>
          <w:szCs w:val="22"/>
        </w:rPr>
      </w:pPr>
      <w:proofErr w:type="gramStart"/>
      <w:r w:rsidRPr="00AF61A1">
        <w:rPr>
          <w:sz w:val="22"/>
          <w:szCs w:val="22"/>
        </w:rPr>
        <w:t xml:space="preserve">Data yang dikumpulkan meliputi </w:t>
      </w:r>
      <w:r w:rsidRPr="00AF61A1">
        <w:rPr>
          <w:bCs/>
          <w:sz w:val="22"/>
          <w:szCs w:val="22"/>
        </w:rPr>
        <w:t>data karakteristik responden</w:t>
      </w:r>
      <w:r w:rsidRPr="00AF61A1">
        <w:rPr>
          <w:sz w:val="22"/>
          <w:szCs w:val="22"/>
        </w:rPr>
        <w:t>, tingkat pengetahuan, faktor sosial budaya, faktor ekonomi, faktor lingkungan, serta tingkat empati masyarakat terhadap ODGJ pasung.</w:t>
      </w:r>
      <w:proofErr w:type="gramEnd"/>
      <w:r w:rsidRPr="00AF61A1">
        <w:rPr>
          <w:sz w:val="22"/>
          <w:szCs w:val="22"/>
        </w:rPr>
        <w:t xml:space="preserve"> </w:t>
      </w:r>
      <w:proofErr w:type="gramStart"/>
      <w:r w:rsidRPr="00AF61A1">
        <w:rPr>
          <w:sz w:val="22"/>
          <w:szCs w:val="22"/>
        </w:rPr>
        <w:t xml:space="preserve">Instrumen penelitian berupa </w:t>
      </w:r>
      <w:r w:rsidRPr="00AF61A1">
        <w:rPr>
          <w:bCs/>
          <w:sz w:val="22"/>
          <w:szCs w:val="22"/>
        </w:rPr>
        <w:t>kuesioner terstruktur</w:t>
      </w:r>
      <w:r w:rsidRPr="00AF61A1">
        <w:rPr>
          <w:sz w:val="22"/>
          <w:szCs w:val="22"/>
        </w:rPr>
        <w:t xml:space="preserve"> yang telah diuji validitas dan reliabilitasnya.</w:t>
      </w:r>
      <w:proofErr w:type="gramEnd"/>
      <w:r w:rsidRPr="00AF61A1">
        <w:rPr>
          <w:sz w:val="22"/>
          <w:szCs w:val="22"/>
        </w:rPr>
        <w:t xml:space="preserve"> </w:t>
      </w:r>
      <w:proofErr w:type="gramStart"/>
      <w:r w:rsidRPr="00AF61A1">
        <w:rPr>
          <w:sz w:val="22"/>
          <w:szCs w:val="22"/>
        </w:rPr>
        <w:t xml:space="preserve">Teknik pengumpulan data dilakukan melalui </w:t>
      </w:r>
      <w:r w:rsidRPr="00AF61A1">
        <w:rPr>
          <w:bCs/>
          <w:sz w:val="22"/>
          <w:szCs w:val="22"/>
        </w:rPr>
        <w:t>wawancara langsung dan pengisian kuesioner</w:t>
      </w:r>
      <w:r w:rsidRPr="00AF61A1">
        <w:rPr>
          <w:sz w:val="22"/>
          <w:szCs w:val="22"/>
        </w:rPr>
        <w:t xml:space="preserve"> oleh responden dengan pendampingan peneliti.</w:t>
      </w:r>
      <w:proofErr w:type="gramEnd"/>
    </w:p>
    <w:p w:rsidR="00AF61A1" w:rsidRPr="00AF61A1" w:rsidRDefault="00AF61A1" w:rsidP="00AF61A1">
      <w:pPr>
        <w:ind w:firstLine="720"/>
        <w:jc w:val="both"/>
        <w:rPr>
          <w:sz w:val="22"/>
          <w:szCs w:val="22"/>
        </w:rPr>
      </w:pPr>
      <w:proofErr w:type="gramStart"/>
      <w:r w:rsidRPr="00AF61A1">
        <w:rPr>
          <w:sz w:val="22"/>
          <w:szCs w:val="22"/>
        </w:rPr>
        <w:t xml:space="preserve">Data yang diperoleh dianalisis menggunakan </w:t>
      </w:r>
      <w:r w:rsidRPr="00AF61A1">
        <w:rPr>
          <w:bCs/>
          <w:sz w:val="22"/>
          <w:szCs w:val="22"/>
        </w:rPr>
        <w:t>analisis univariat</w:t>
      </w:r>
      <w:r w:rsidRPr="00AF61A1">
        <w:rPr>
          <w:sz w:val="22"/>
          <w:szCs w:val="22"/>
        </w:rPr>
        <w:t xml:space="preserve"> untuk menggambarkan karakteristik responden dan distribusi variabel, serta </w:t>
      </w:r>
      <w:r w:rsidRPr="00AF61A1">
        <w:rPr>
          <w:bCs/>
          <w:sz w:val="22"/>
          <w:szCs w:val="22"/>
        </w:rPr>
        <w:t>analisis bivariat</w:t>
      </w:r>
      <w:r w:rsidRPr="00AF61A1">
        <w:rPr>
          <w:sz w:val="22"/>
          <w:szCs w:val="22"/>
        </w:rPr>
        <w:t xml:space="preserve"> untuk mengetahui hubungan antara faktor-faktor yang diteliti dengan empati masyarakat, menggunakan uji statistik yang sesuai dengan skala data.</w:t>
      </w:r>
      <w:proofErr w:type="gramEnd"/>
      <w:r w:rsidRPr="00AF61A1">
        <w:rPr>
          <w:sz w:val="22"/>
          <w:szCs w:val="22"/>
        </w:rPr>
        <w:t xml:space="preserve"> </w:t>
      </w:r>
      <w:proofErr w:type="gramStart"/>
      <w:r w:rsidRPr="00AF61A1">
        <w:rPr>
          <w:sz w:val="22"/>
          <w:szCs w:val="22"/>
        </w:rPr>
        <w:t>Hasil analisis disajikan dalam bentuk tabel dan narasi untuk memudahkan interpretasi.</w:t>
      </w:r>
      <w:proofErr w:type="gramEnd"/>
    </w:p>
    <w:p w:rsidR="00AF61A1" w:rsidRDefault="00AF61A1">
      <w:pPr>
        <w:jc w:val="both"/>
        <w:rPr>
          <w:sz w:val="22"/>
          <w:szCs w:val="22"/>
          <w:lang w:val="id-ID"/>
        </w:rPr>
      </w:pPr>
    </w:p>
    <w:p w:rsidR="00030875" w:rsidRDefault="001A61F4">
      <w:pPr>
        <w:jc w:val="both"/>
        <w:rPr>
          <w:b/>
          <w:sz w:val="22"/>
          <w:szCs w:val="22"/>
          <w:lang w:val="id-ID"/>
        </w:rPr>
      </w:pPr>
      <w:r>
        <w:rPr>
          <w:b/>
          <w:sz w:val="22"/>
          <w:szCs w:val="22"/>
        </w:rPr>
        <w:lastRenderedPageBreak/>
        <w:t>HASIL</w:t>
      </w:r>
    </w:p>
    <w:p w:rsidR="003B50AC" w:rsidRPr="003B50AC" w:rsidRDefault="003B50AC">
      <w:pPr>
        <w:jc w:val="both"/>
        <w:rPr>
          <w:b/>
          <w:sz w:val="22"/>
          <w:szCs w:val="22"/>
          <w:lang w:val="id-ID"/>
        </w:rPr>
      </w:pPr>
    </w:p>
    <w:p w:rsidR="00DF702F" w:rsidRPr="00D65741" w:rsidRDefault="00317B6B" w:rsidP="00D65741">
      <w:pPr>
        <w:spacing w:line="276" w:lineRule="auto"/>
        <w:jc w:val="both"/>
        <w:rPr>
          <w:sz w:val="22"/>
          <w:szCs w:val="22"/>
        </w:rPr>
      </w:pPr>
      <w:r w:rsidRPr="00D65741">
        <w:rPr>
          <w:sz w:val="22"/>
          <w:szCs w:val="22"/>
          <w:lang w:val="id-ID"/>
        </w:rPr>
        <w:t>Tabel</w:t>
      </w:r>
      <w:r w:rsidRPr="00D65741">
        <w:rPr>
          <w:sz w:val="22"/>
          <w:szCs w:val="22"/>
        </w:rPr>
        <w:t xml:space="preserve"> 1 Karakteristik Responden </w:t>
      </w:r>
    </w:p>
    <w:tbl>
      <w:tblPr>
        <w:tblStyle w:val="TableGrid"/>
        <w:tblW w:w="4551" w:type="dxa"/>
        <w:jc w:val="center"/>
        <w:tblInd w:w="5052"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7"/>
        <w:gridCol w:w="1725"/>
        <w:gridCol w:w="1134"/>
        <w:gridCol w:w="1315"/>
      </w:tblGrid>
      <w:tr w:rsidR="00D65741" w:rsidRPr="003B50AC" w:rsidTr="00E319C9">
        <w:trPr>
          <w:jc w:val="center"/>
        </w:trPr>
        <w:tc>
          <w:tcPr>
            <w:tcW w:w="377" w:type="dxa"/>
            <w:tcBorders>
              <w:top w:val="single" w:sz="4" w:space="0" w:color="auto"/>
              <w:bottom w:val="single" w:sz="4" w:space="0" w:color="auto"/>
            </w:tcBorders>
          </w:tcPr>
          <w:p w:rsidR="00D65741" w:rsidRPr="003B50AC" w:rsidRDefault="00D65741" w:rsidP="00D65741">
            <w:pPr>
              <w:ind w:left="-157" w:right="-108"/>
              <w:jc w:val="center"/>
              <w:rPr>
                <w:b/>
                <w:sz w:val="20"/>
                <w:szCs w:val="20"/>
              </w:rPr>
            </w:pPr>
            <w:r w:rsidRPr="003B50AC">
              <w:rPr>
                <w:b/>
                <w:sz w:val="20"/>
                <w:szCs w:val="20"/>
              </w:rPr>
              <w:t>No</w:t>
            </w:r>
          </w:p>
        </w:tc>
        <w:tc>
          <w:tcPr>
            <w:tcW w:w="1725" w:type="dxa"/>
            <w:tcBorders>
              <w:top w:val="single" w:sz="4" w:space="0" w:color="auto"/>
              <w:bottom w:val="single" w:sz="4" w:space="0" w:color="auto"/>
            </w:tcBorders>
          </w:tcPr>
          <w:p w:rsidR="00D65741" w:rsidRPr="003B50AC" w:rsidRDefault="00D65741" w:rsidP="00DD45C0">
            <w:pPr>
              <w:ind w:left="60" w:right="60"/>
              <w:jc w:val="center"/>
              <w:rPr>
                <w:b/>
                <w:sz w:val="20"/>
                <w:szCs w:val="20"/>
              </w:rPr>
            </w:pPr>
            <w:r w:rsidRPr="003B50AC">
              <w:rPr>
                <w:b/>
                <w:sz w:val="20"/>
                <w:szCs w:val="20"/>
              </w:rPr>
              <w:t>Karakteristik</w:t>
            </w:r>
          </w:p>
        </w:tc>
        <w:tc>
          <w:tcPr>
            <w:tcW w:w="1134" w:type="dxa"/>
            <w:tcBorders>
              <w:top w:val="single" w:sz="4" w:space="0" w:color="auto"/>
              <w:bottom w:val="single" w:sz="4" w:space="0" w:color="auto"/>
            </w:tcBorders>
          </w:tcPr>
          <w:p w:rsidR="00D65741" w:rsidRPr="003B50AC" w:rsidRDefault="00D65741" w:rsidP="00DD45C0">
            <w:pPr>
              <w:pBdr>
                <w:top w:val="nil"/>
                <w:left w:val="nil"/>
                <w:bottom w:val="nil"/>
                <w:right w:val="nil"/>
                <w:between w:val="nil"/>
              </w:pBdr>
              <w:ind w:firstLine="33"/>
              <w:jc w:val="center"/>
              <w:rPr>
                <w:rFonts w:eastAsia="Times New Roman"/>
                <w:b/>
                <w:bCs/>
                <w:color w:val="000000"/>
                <w:sz w:val="20"/>
                <w:szCs w:val="20"/>
                <w:lang w:val="id-ID"/>
              </w:rPr>
            </w:pPr>
            <w:r w:rsidRPr="003B50AC">
              <w:rPr>
                <w:rFonts w:eastAsia="Times New Roman"/>
                <w:b/>
                <w:bCs/>
                <w:color w:val="000000"/>
                <w:sz w:val="20"/>
                <w:szCs w:val="20"/>
                <w:lang w:val="id-ID"/>
              </w:rPr>
              <w:t>Frekuensi</w:t>
            </w:r>
          </w:p>
        </w:tc>
        <w:tc>
          <w:tcPr>
            <w:tcW w:w="1315" w:type="dxa"/>
            <w:tcBorders>
              <w:top w:val="single" w:sz="4" w:space="0" w:color="auto"/>
              <w:bottom w:val="single" w:sz="4" w:space="0" w:color="auto"/>
            </w:tcBorders>
          </w:tcPr>
          <w:p w:rsidR="00D65741" w:rsidRPr="003B50AC" w:rsidRDefault="00D65741" w:rsidP="00DD45C0">
            <w:pPr>
              <w:pBdr>
                <w:top w:val="nil"/>
                <w:left w:val="nil"/>
                <w:bottom w:val="nil"/>
                <w:right w:val="nil"/>
                <w:between w:val="nil"/>
              </w:pBdr>
              <w:jc w:val="center"/>
              <w:rPr>
                <w:rFonts w:eastAsia="Times New Roman"/>
                <w:b/>
                <w:bCs/>
                <w:color w:val="000000"/>
                <w:sz w:val="20"/>
                <w:szCs w:val="20"/>
                <w:lang w:val="id-ID"/>
              </w:rPr>
            </w:pPr>
            <w:r w:rsidRPr="003B50AC">
              <w:rPr>
                <w:rFonts w:eastAsia="Times New Roman"/>
                <w:b/>
                <w:bCs/>
                <w:color w:val="000000"/>
                <w:sz w:val="20"/>
                <w:szCs w:val="20"/>
                <w:lang w:val="id-ID"/>
              </w:rPr>
              <w:t>Prosentase</w:t>
            </w:r>
          </w:p>
        </w:tc>
      </w:tr>
      <w:tr w:rsidR="00317B6B" w:rsidRPr="003B50AC" w:rsidTr="00E319C9">
        <w:trPr>
          <w:jc w:val="center"/>
        </w:trPr>
        <w:tc>
          <w:tcPr>
            <w:tcW w:w="377" w:type="dxa"/>
            <w:tcBorders>
              <w:top w:val="single" w:sz="4" w:space="0" w:color="auto"/>
            </w:tcBorders>
          </w:tcPr>
          <w:p w:rsidR="00317B6B" w:rsidRPr="003B50AC" w:rsidRDefault="00D65741" w:rsidP="00D65741">
            <w:pPr>
              <w:ind w:left="-157" w:right="-108"/>
              <w:jc w:val="center"/>
              <w:rPr>
                <w:b/>
                <w:sz w:val="20"/>
                <w:szCs w:val="20"/>
              </w:rPr>
            </w:pPr>
            <w:r w:rsidRPr="003B50AC">
              <w:rPr>
                <w:b/>
                <w:sz w:val="20"/>
                <w:szCs w:val="20"/>
              </w:rPr>
              <w:t>1</w:t>
            </w:r>
          </w:p>
        </w:tc>
        <w:tc>
          <w:tcPr>
            <w:tcW w:w="4174" w:type="dxa"/>
            <w:gridSpan w:val="3"/>
            <w:tcBorders>
              <w:top w:val="single" w:sz="4" w:space="0" w:color="auto"/>
            </w:tcBorders>
          </w:tcPr>
          <w:p w:rsidR="00317B6B" w:rsidRPr="003B50AC" w:rsidRDefault="00317B6B" w:rsidP="00E319C9">
            <w:pPr>
              <w:ind w:left="-84" w:right="60"/>
              <w:rPr>
                <w:b/>
                <w:sz w:val="20"/>
                <w:szCs w:val="20"/>
              </w:rPr>
            </w:pPr>
            <w:r w:rsidRPr="003B50AC">
              <w:rPr>
                <w:b/>
                <w:sz w:val="20"/>
                <w:szCs w:val="20"/>
              </w:rPr>
              <w:t xml:space="preserve">Usia </w:t>
            </w:r>
          </w:p>
        </w:tc>
      </w:tr>
      <w:tr w:rsidR="00317B6B" w:rsidRPr="003B50AC" w:rsidTr="00E319C9">
        <w:trPr>
          <w:jc w:val="center"/>
        </w:trPr>
        <w:tc>
          <w:tcPr>
            <w:tcW w:w="377" w:type="dxa"/>
            <w:tcBorders>
              <w:top w:val="single" w:sz="4" w:space="0" w:color="auto"/>
            </w:tcBorders>
          </w:tcPr>
          <w:p w:rsidR="00317B6B" w:rsidRPr="003B50AC" w:rsidRDefault="00317B6B" w:rsidP="00D65741">
            <w:pPr>
              <w:ind w:left="-157" w:right="-108"/>
              <w:jc w:val="center"/>
              <w:rPr>
                <w:sz w:val="20"/>
                <w:szCs w:val="20"/>
              </w:rPr>
            </w:pPr>
          </w:p>
        </w:tc>
        <w:tc>
          <w:tcPr>
            <w:tcW w:w="1725" w:type="dxa"/>
            <w:tcBorders>
              <w:top w:val="single" w:sz="4" w:space="0" w:color="auto"/>
            </w:tcBorders>
          </w:tcPr>
          <w:p w:rsidR="00317B6B" w:rsidRPr="003B50AC" w:rsidRDefault="00AF61A1" w:rsidP="00DA53F7">
            <w:pPr>
              <w:ind w:left="-84" w:right="60"/>
              <w:rPr>
                <w:sz w:val="20"/>
                <w:szCs w:val="20"/>
                <w:lang w:val="id-ID"/>
              </w:rPr>
            </w:pPr>
            <w:r w:rsidRPr="003B50AC">
              <w:rPr>
                <w:sz w:val="20"/>
                <w:szCs w:val="20"/>
                <w:lang w:val="id-ID"/>
              </w:rPr>
              <w:t>19-30 Tahun</w:t>
            </w:r>
          </w:p>
        </w:tc>
        <w:tc>
          <w:tcPr>
            <w:tcW w:w="1134" w:type="dxa"/>
            <w:tcBorders>
              <w:top w:val="single" w:sz="4" w:space="0" w:color="auto"/>
            </w:tcBorders>
          </w:tcPr>
          <w:p w:rsidR="00317B6B" w:rsidRPr="003B50AC" w:rsidRDefault="00AF61A1" w:rsidP="00DD45C0">
            <w:pPr>
              <w:ind w:left="60" w:right="60"/>
              <w:jc w:val="center"/>
              <w:rPr>
                <w:sz w:val="20"/>
                <w:szCs w:val="20"/>
                <w:lang w:val="id-ID"/>
              </w:rPr>
            </w:pPr>
            <w:r w:rsidRPr="003B50AC">
              <w:rPr>
                <w:sz w:val="20"/>
                <w:szCs w:val="20"/>
                <w:lang w:val="id-ID"/>
              </w:rPr>
              <w:t>20</w:t>
            </w:r>
          </w:p>
        </w:tc>
        <w:tc>
          <w:tcPr>
            <w:tcW w:w="1315" w:type="dxa"/>
            <w:tcBorders>
              <w:top w:val="single" w:sz="4" w:space="0" w:color="auto"/>
            </w:tcBorders>
          </w:tcPr>
          <w:p w:rsidR="00317B6B" w:rsidRPr="003B50AC" w:rsidRDefault="00AF61A1" w:rsidP="00DD45C0">
            <w:pPr>
              <w:ind w:left="60" w:right="60"/>
              <w:jc w:val="center"/>
              <w:rPr>
                <w:sz w:val="20"/>
                <w:szCs w:val="20"/>
                <w:lang w:val="id-ID"/>
              </w:rPr>
            </w:pPr>
            <w:r w:rsidRPr="003B50AC">
              <w:rPr>
                <w:sz w:val="20"/>
                <w:szCs w:val="20"/>
                <w:lang w:val="id-ID"/>
              </w:rPr>
              <w:t>25.0</w:t>
            </w:r>
          </w:p>
        </w:tc>
      </w:tr>
      <w:tr w:rsidR="00317B6B" w:rsidRPr="003B50AC" w:rsidTr="00E319C9">
        <w:trPr>
          <w:jc w:val="center"/>
        </w:trPr>
        <w:tc>
          <w:tcPr>
            <w:tcW w:w="377" w:type="dxa"/>
            <w:tcBorders>
              <w:bottom w:val="nil"/>
            </w:tcBorders>
          </w:tcPr>
          <w:p w:rsidR="00317B6B" w:rsidRPr="003B50AC" w:rsidRDefault="00317B6B" w:rsidP="00D65741">
            <w:pPr>
              <w:ind w:left="-157" w:right="-108"/>
              <w:jc w:val="center"/>
              <w:rPr>
                <w:sz w:val="20"/>
                <w:szCs w:val="20"/>
              </w:rPr>
            </w:pPr>
          </w:p>
        </w:tc>
        <w:tc>
          <w:tcPr>
            <w:tcW w:w="1725" w:type="dxa"/>
            <w:tcBorders>
              <w:bottom w:val="nil"/>
            </w:tcBorders>
          </w:tcPr>
          <w:p w:rsidR="00317B6B" w:rsidRPr="003B50AC" w:rsidRDefault="00AF61A1" w:rsidP="00DA53F7">
            <w:pPr>
              <w:ind w:left="-84" w:right="60"/>
              <w:rPr>
                <w:sz w:val="20"/>
                <w:szCs w:val="20"/>
                <w:lang w:val="id-ID"/>
              </w:rPr>
            </w:pPr>
            <w:r w:rsidRPr="003B50AC">
              <w:rPr>
                <w:sz w:val="20"/>
                <w:szCs w:val="20"/>
                <w:lang w:val="id-ID"/>
              </w:rPr>
              <w:t>31-40 Tahun</w:t>
            </w:r>
          </w:p>
        </w:tc>
        <w:tc>
          <w:tcPr>
            <w:tcW w:w="1134" w:type="dxa"/>
            <w:tcBorders>
              <w:bottom w:val="nil"/>
            </w:tcBorders>
          </w:tcPr>
          <w:p w:rsidR="00317B6B" w:rsidRPr="003B50AC" w:rsidRDefault="00AF61A1" w:rsidP="00DD45C0">
            <w:pPr>
              <w:ind w:left="60" w:right="60"/>
              <w:jc w:val="center"/>
              <w:rPr>
                <w:sz w:val="20"/>
                <w:szCs w:val="20"/>
                <w:lang w:val="id-ID"/>
              </w:rPr>
            </w:pPr>
            <w:r w:rsidRPr="003B50AC">
              <w:rPr>
                <w:sz w:val="20"/>
                <w:szCs w:val="20"/>
                <w:lang w:val="id-ID"/>
              </w:rPr>
              <w:t>48</w:t>
            </w:r>
          </w:p>
        </w:tc>
        <w:tc>
          <w:tcPr>
            <w:tcW w:w="1315" w:type="dxa"/>
            <w:tcBorders>
              <w:bottom w:val="nil"/>
            </w:tcBorders>
          </w:tcPr>
          <w:p w:rsidR="00317B6B" w:rsidRPr="003B50AC" w:rsidRDefault="00AF61A1" w:rsidP="00DD45C0">
            <w:pPr>
              <w:ind w:left="60" w:right="60"/>
              <w:jc w:val="center"/>
              <w:rPr>
                <w:sz w:val="20"/>
                <w:szCs w:val="20"/>
                <w:lang w:val="id-ID"/>
              </w:rPr>
            </w:pPr>
            <w:r w:rsidRPr="003B50AC">
              <w:rPr>
                <w:sz w:val="20"/>
                <w:szCs w:val="20"/>
                <w:lang w:val="id-ID"/>
              </w:rPr>
              <w:t>60.0</w:t>
            </w:r>
          </w:p>
        </w:tc>
      </w:tr>
      <w:tr w:rsidR="00317B6B" w:rsidRPr="003B50AC" w:rsidTr="00AF61A1">
        <w:trPr>
          <w:jc w:val="center"/>
        </w:trPr>
        <w:tc>
          <w:tcPr>
            <w:tcW w:w="377" w:type="dxa"/>
            <w:tcBorders>
              <w:top w:val="nil"/>
              <w:bottom w:val="single" w:sz="4" w:space="0" w:color="auto"/>
            </w:tcBorders>
          </w:tcPr>
          <w:p w:rsidR="00317B6B" w:rsidRPr="003B50AC" w:rsidRDefault="00317B6B" w:rsidP="00D65741">
            <w:pPr>
              <w:ind w:left="-157" w:right="-108"/>
              <w:jc w:val="center"/>
              <w:rPr>
                <w:sz w:val="20"/>
                <w:szCs w:val="20"/>
              </w:rPr>
            </w:pPr>
          </w:p>
        </w:tc>
        <w:tc>
          <w:tcPr>
            <w:tcW w:w="1725" w:type="dxa"/>
            <w:tcBorders>
              <w:top w:val="nil"/>
              <w:bottom w:val="single" w:sz="4" w:space="0" w:color="auto"/>
            </w:tcBorders>
          </w:tcPr>
          <w:p w:rsidR="00317B6B" w:rsidRPr="003B50AC" w:rsidRDefault="00AF61A1" w:rsidP="00E319C9">
            <w:pPr>
              <w:ind w:left="-84" w:right="60"/>
              <w:rPr>
                <w:sz w:val="20"/>
                <w:szCs w:val="20"/>
                <w:lang w:val="id-ID"/>
              </w:rPr>
            </w:pPr>
            <w:r w:rsidRPr="003B50AC">
              <w:rPr>
                <w:sz w:val="20"/>
                <w:szCs w:val="20"/>
                <w:lang w:val="id-ID"/>
              </w:rPr>
              <w:t>41-45 Tahun</w:t>
            </w:r>
          </w:p>
        </w:tc>
        <w:tc>
          <w:tcPr>
            <w:tcW w:w="1134" w:type="dxa"/>
            <w:tcBorders>
              <w:top w:val="nil"/>
              <w:bottom w:val="single" w:sz="4" w:space="0" w:color="auto"/>
            </w:tcBorders>
          </w:tcPr>
          <w:p w:rsidR="00317B6B" w:rsidRPr="003B50AC" w:rsidRDefault="00AF61A1" w:rsidP="00DD45C0">
            <w:pPr>
              <w:ind w:left="60" w:right="60"/>
              <w:jc w:val="center"/>
              <w:rPr>
                <w:sz w:val="20"/>
                <w:szCs w:val="20"/>
                <w:lang w:val="id-ID"/>
              </w:rPr>
            </w:pPr>
            <w:r w:rsidRPr="003B50AC">
              <w:rPr>
                <w:sz w:val="20"/>
                <w:szCs w:val="20"/>
                <w:lang w:val="id-ID"/>
              </w:rPr>
              <w:t>12</w:t>
            </w:r>
          </w:p>
        </w:tc>
        <w:tc>
          <w:tcPr>
            <w:tcW w:w="1315" w:type="dxa"/>
            <w:tcBorders>
              <w:top w:val="nil"/>
              <w:bottom w:val="single" w:sz="4" w:space="0" w:color="auto"/>
            </w:tcBorders>
          </w:tcPr>
          <w:p w:rsidR="00317B6B" w:rsidRPr="003B50AC" w:rsidRDefault="00AF61A1" w:rsidP="00DD45C0">
            <w:pPr>
              <w:ind w:left="60" w:right="60"/>
              <w:jc w:val="center"/>
              <w:rPr>
                <w:sz w:val="20"/>
                <w:szCs w:val="20"/>
                <w:lang w:val="id-ID"/>
              </w:rPr>
            </w:pPr>
            <w:r w:rsidRPr="003B50AC">
              <w:rPr>
                <w:sz w:val="20"/>
                <w:szCs w:val="20"/>
                <w:lang w:val="id-ID"/>
              </w:rPr>
              <w:t>15.0</w:t>
            </w:r>
          </w:p>
        </w:tc>
      </w:tr>
      <w:tr w:rsidR="00DA53F7" w:rsidRPr="003B50AC" w:rsidTr="00AF61A1">
        <w:trPr>
          <w:jc w:val="center"/>
        </w:trPr>
        <w:tc>
          <w:tcPr>
            <w:tcW w:w="377" w:type="dxa"/>
            <w:tcBorders>
              <w:top w:val="single" w:sz="4" w:space="0" w:color="auto"/>
              <w:bottom w:val="single" w:sz="4" w:space="0" w:color="auto"/>
            </w:tcBorders>
          </w:tcPr>
          <w:p w:rsidR="00DA53F7" w:rsidRPr="003B50AC" w:rsidRDefault="00AF61A1" w:rsidP="00D65741">
            <w:pPr>
              <w:ind w:left="-157" w:right="-108"/>
              <w:jc w:val="center"/>
              <w:rPr>
                <w:b/>
                <w:sz w:val="20"/>
                <w:szCs w:val="20"/>
                <w:lang w:val="id-ID"/>
              </w:rPr>
            </w:pPr>
            <w:r w:rsidRPr="003B50AC">
              <w:rPr>
                <w:b/>
                <w:sz w:val="20"/>
                <w:szCs w:val="20"/>
                <w:lang w:val="id-ID"/>
              </w:rPr>
              <w:t>2</w:t>
            </w:r>
          </w:p>
        </w:tc>
        <w:tc>
          <w:tcPr>
            <w:tcW w:w="1725" w:type="dxa"/>
            <w:tcBorders>
              <w:top w:val="single" w:sz="4" w:space="0" w:color="auto"/>
              <w:bottom w:val="single" w:sz="4" w:space="0" w:color="auto"/>
            </w:tcBorders>
          </w:tcPr>
          <w:p w:rsidR="00DA53F7" w:rsidRPr="003B50AC" w:rsidRDefault="00AF61A1" w:rsidP="00E319C9">
            <w:pPr>
              <w:ind w:left="-84" w:right="60"/>
              <w:rPr>
                <w:b/>
                <w:sz w:val="20"/>
                <w:szCs w:val="20"/>
                <w:lang w:val="id-ID"/>
              </w:rPr>
            </w:pPr>
            <w:r w:rsidRPr="003B50AC">
              <w:rPr>
                <w:b/>
                <w:sz w:val="20"/>
                <w:szCs w:val="20"/>
                <w:lang w:val="id-ID"/>
              </w:rPr>
              <w:t>Pendidikan</w:t>
            </w:r>
          </w:p>
        </w:tc>
        <w:tc>
          <w:tcPr>
            <w:tcW w:w="1134" w:type="dxa"/>
            <w:tcBorders>
              <w:top w:val="single" w:sz="4" w:space="0" w:color="auto"/>
              <w:bottom w:val="single" w:sz="4" w:space="0" w:color="auto"/>
            </w:tcBorders>
          </w:tcPr>
          <w:p w:rsidR="00DA53F7" w:rsidRPr="003B50AC" w:rsidRDefault="00DA53F7" w:rsidP="00DD45C0">
            <w:pPr>
              <w:ind w:left="60" w:right="60"/>
              <w:jc w:val="center"/>
              <w:rPr>
                <w:sz w:val="20"/>
                <w:szCs w:val="20"/>
                <w:lang w:val="id-ID"/>
              </w:rPr>
            </w:pPr>
          </w:p>
        </w:tc>
        <w:tc>
          <w:tcPr>
            <w:tcW w:w="1315" w:type="dxa"/>
            <w:tcBorders>
              <w:top w:val="single" w:sz="4" w:space="0" w:color="auto"/>
              <w:bottom w:val="single" w:sz="4" w:space="0" w:color="auto"/>
            </w:tcBorders>
          </w:tcPr>
          <w:p w:rsidR="00DA53F7" w:rsidRPr="003B50AC" w:rsidRDefault="00DA53F7" w:rsidP="00DD45C0">
            <w:pPr>
              <w:ind w:left="60" w:right="60"/>
              <w:jc w:val="center"/>
              <w:rPr>
                <w:sz w:val="20"/>
                <w:szCs w:val="20"/>
                <w:lang w:val="id-ID"/>
              </w:rPr>
            </w:pPr>
          </w:p>
        </w:tc>
      </w:tr>
      <w:tr w:rsidR="00DA53F7" w:rsidRPr="003B50AC" w:rsidTr="00AF61A1">
        <w:trPr>
          <w:jc w:val="center"/>
        </w:trPr>
        <w:tc>
          <w:tcPr>
            <w:tcW w:w="377" w:type="dxa"/>
            <w:tcBorders>
              <w:top w:val="single" w:sz="4" w:space="0" w:color="auto"/>
              <w:bottom w:val="nil"/>
            </w:tcBorders>
          </w:tcPr>
          <w:p w:rsidR="00DA53F7" w:rsidRPr="003B50AC" w:rsidRDefault="00DA53F7" w:rsidP="00D65741">
            <w:pPr>
              <w:ind w:left="-157" w:right="-108"/>
              <w:jc w:val="center"/>
              <w:rPr>
                <w:sz w:val="20"/>
                <w:szCs w:val="20"/>
              </w:rPr>
            </w:pPr>
          </w:p>
        </w:tc>
        <w:tc>
          <w:tcPr>
            <w:tcW w:w="1725" w:type="dxa"/>
            <w:tcBorders>
              <w:top w:val="single" w:sz="4" w:space="0" w:color="auto"/>
              <w:bottom w:val="nil"/>
            </w:tcBorders>
          </w:tcPr>
          <w:p w:rsidR="00DA53F7" w:rsidRPr="003B50AC" w:rsidRDefault="00AF61A1" w:rsidP="00E319C9">
            <w:pPr>
              <w:ind w:left="-84" w:right="60"/>
              <w:rPr>
                <w:sz w:val="20"/>
                <w:szCs w:val="20"/>
                <w:lang w:val="id-ID"/>
              </w:rPr>
            </w:pPr>
            <w:r w:rsidRPr="003B50AC">
              <w:rPr>
                <w:sz w:val="20"/>
                <w:szCs w:val="20"/>
                <w:lang w:val="id-ID"/>
              </w:rPr>
              <w:t>SD</w:t>
            </w:r>
          </w:p>
        </w:tc>
        <w:tc>
          <w:tcPr>
            <w:tcW w:w="1134" w:type="dxa"/>
            <w:tcBorders>
              <w:top w:val="single" w:sz="4" w:space="0" w:color="auto"/>
              <w:bottom w:val="nil"/>
            </w:tcBorders>
          </w:tcPr>
          <w:p w:rsidR="00DA53F7" w:rsidRPr="003B50AC" w:rsidRDefault="00AF61A1" w:rsidP="00DD45C0">
            <w:pPr>
              <w:ind w:left="60" w:right="60"/>
              <w:jc w:val="center"/>
              <w:rPr>
                <w:sz w:val="20"/>
                <w:szCs w:val="20"/>
                <w:lang w:val="id-ID"/>
              </w:rPr>
            </w:pPr>
            <w:r w:rsidRPr="003B50AC">
              <w:rPr>
                <w:sz w:val="20"/>
                <w:szCs w:val="20"/>
                <w:lang w:val="id-ID"/>
              </w:rPr>
              <w:t>22</w:t>
            </w:r>
          </w:p>
        </w:tc>
        <w:tc>
          <w:tcPr>
            <w:tcW w:w="1315" w:type="dxa"/>
            <w:tcBorders>
              <w:top w:val="single" w:sz="4" w:space="0" w:color="auto"/>
              <w:bottom w:val="nil"/>
            </w:tcBorders>
          </w:tcPr>
          <w:p w:rsidR="00DA53F7" w:rsidRPr="003B50AC" w:rsidRDefault="00AF61A1" w:rsidP="00DD45C0">
            <w:pPr>
              <w:ind w:left="60" w:right="60"/>
              <w:jc w:val="center"/>
              <w:rPr>
                <w:sz w:val="20"/>
                <w:szCs w:val="20"/>
                <w:lang w:val="id-ID"/>
              </w:rPr>
            </w:pPr>
            <w:r w:rsidRPr="003B50AC">
              <w:rPr>
                <w:sz w:val="20"/>
                <w:szCs w:val="20"/>
                <w:lang w:val="id-ID"/>
              </w:rPr>
              <w:t>27.5</w:t>
            </w:r>
          </w:p>
        </w:tc>
      </w:tr>
      <w:tr w:rsidR="00E43FD2" w:rsidRPr="003B50AC" w:rsidTr="00AF61A1">
        <w:trPr>
          <w:jc w:val="center"/>
        </w:trPr>
        <w:tc>
          <w:tcPr>
            <w:tcW w:w="377" w:type="dxa"/>
            <w:tcBorders>
              <w:top w:val="nil"/>
              <w:bottom w:val="nil"/>
            </w:tcBorders>
          </w:tcPr>
          <w:p w:rsidR="00E43FD2" w:rsidRPr="003B50AC" w:rsidRDefault="00E43FD2" w:rsidP="00D65741">
            <w:pPr>
              <w:ind w:left="-157" w:right="-108"/>
              <w:jc w:val="center"/>
              <w:rPr>
                <w:sz w:val="20"/>
                <w:szCs w:val="20"/>
              </w:rPr>
            </w:pPr>
          </w:p>
        </w:tc>
        <w:tc>
          <w:tcPr>
            <w:tcW w:w="1725" w:type="dxa"/>
            <w:tcBorders>
              <w:top w:val="nil"/>
              <w:bottom w:val="nil"/>
            </w:tcBorders>
          </w:tcPr>
          <w:p w:rsidR="00E43FD2" w:rsidRPr="003B50AC" w:rsidRDefault="00AF61A1" w:rsidP="00E319C9">
            <w:pPr>
              <w:ind w:left="-84" w:right="60"/>
              <w:rPr>
                <w:sz w:val="20"/>
                <w:szCs w:val="20"/>
                <w:lang w:val="id-ID"/>
              </w:rPr>
            </w:pPr>
            <w:r w:rsidRPr="003B50AC">
              <w:rPr>
                <w:sz w:val="20"/>
                <w:szCs w:val="20"/>
                <w:lang w:val="id-ID"/>
              </w:rPr>
              <w:t>SMP</w:t>
            </w:r>
          </w:p>
        </w:tc>
        <w:tc>
          <w:tcPr>
            <w:tcW w:w="1134" w:type="dxa"/>
            <w:tcBorders>
              <w:top w:val="nil"/>
              <w:bottom w:val="nil"/>
            </w:tcBorders>
          </w:tcPr>
          <w:p w:rsidR="00E43FD2" w:rsidRPr="003B50AC" w:rsidRDefault="00AF61A1" w:rsidP="00DD45C0">
            <w:pPr>
              <w:ind w:left="60" w:right="60"/>
              <w:jc w:val="center"/>
              <w:rPr>
                <w:sz w:val="20"/>
                <w:szCs w:val="20"/>
                <w:lang w:val="id-ID"/>
              </w:rPr>
            </w:pPr>
            <w:r w:rsidRPr="003B50AC">
              <w:rPr>
                <w:sz w:val="20"/>
                <w:szCs w:val="20"/>
                <w:lang w:val="id-ID"/>
              </w:rPr>
              <w:t>48</w:t>
            </w:r>
          </w:p>
        </w:tc>
        <w:tc>
          <w:tcPr>
            <w:tcW w:w="1315" w:type="dxa"/>
            <w:tcBorders>
              <w:top w:val="nil"/>
              <w:bottom w:val="nil"/>
            </w:tcBorders>
          </w:tcPr>
          <w:p w:rsidR="00E43FD2" w:rsidRPr="003B50AC" w:rsidRDefault="00AF61A1" w:rsidP="00DD45C0">
            <w:pPr>
              <w:ind w:left="60" w:right="60"/>
              <w:jc w:val="center"/>
              <w:rPr>
                <w:sz w:val="20"/>
                <w:szCs w:val="20"/>
                <w:lang w:val="id-ID"/>
              </w:rPr>
            </w:pPr>
            <w:r w:rsidRPr="003B50AC">
              <w:rPr>
                <w:sz w:val="20"/>
                <w:szCs w:val="20"/>
                <w:lang w:val="id-ID"/>
              </w:rPr>
              <w:t>60.0</w:t>
            </w:r>
          </w:p>
        </w:tc>
      </w:tr>
      <w:tr w:rsidR="00AF61A1" w:rsidRPr="003B50AC" w:rsidTr="00AF61A1">
        <w:trPr>
          <w:jc w:val="center"/>
        </w:trPr>
        <w:tc>
          <w:tcPr>
            <w:tcW w:w="377" w:type="dxa"/>
            <w:tcBorders>
              <w:top w:val="nil"/>
              <w:left w:val="nil"/>
              <w:bottom w:val="single" w:sz="4" w:space="0" w:color="auto"/>
              <w:right w:val="nil"/>
            </w:tcBorders>
          </w:tcPr>
          <w:p w:rsidR="00AF61A1" w:rsidRPr="003B50AC" w:rsidRDefault="00AF61A1" w:rsidP="00D65741">
            <w:pPr>
              <w:ind w:left="-157" w:right="-108"/>
              <w:jc w:val="center"/>
              <w:rPr>
                <w:sz w:val="20"/>
                <w:szCs w:val="20"/>
              </w:rPr>
            </w:pPr>
          </w:p>
        </w:tc>
        <w:tc>
          <w:tcPr>
            <w:tcW w:w="1725" w:type="dxa"/>
            <w:tcBorders>
              <w:top w:val="nil"/>
              <w:left w:val="nil"/>
              <w:bottom w:val="single" w:sz="4" w:space="0" w:color="auto"/>
              <w:right w:val="nil"/>
            </w:tcBorders>
          </w:tcPr>
          <w:p w:rsidR="00AF61A1" w:rsidRPr="003B50AC" w:rsidRDefault="00AF61A1" w:rsidP="00E319C9">
            <w:pPr>
              <w:ind w:left="-84" w:right="60"/>
              <w:rPr>
                <w:sz w:val="20"/>
                <w:szCs w:val="20"/>
                <w:lang w:val="id-ID"/>
              </w:rPr>
            </w:pPr>
            <w:r w:rsidRPr="003B50AC">
              <w:rPr>
                <w:sz w:val="20"/>
                <w:szCs w:val="20"/>
                <w:lang w:val="id-ID"/>
              </w:rPr>
              <w:t>SMA</w:t>
            </w:r>
          </w:p>
        </w:tc>
        <w:tc>
          <w:tcPr>
            <w:tcW w:w="1134" w:type="dxa"/>
            <w:tcBorders>
              <w:top w:val="nil"/>
              <w:left w:val="nil"/>
              <w:bottom w:val="single" w:sz="4" w:space="0" w:color="auto"/>
              <w:right w:val="nil"/>
            </w:tcBorders>
          </w:tcPr>
          <w:p w:rsidR="00AF61A1" w:rsidRPr="003B50AC" w:rsidRDefault="00AF61A1" w:rsidP="00DD45C0">
            <w:pPr>
              <w:ind w:left="60" w:right="60"/>
              <w:jc w:val="center"/>
              <w:rPr>
                <w:sz w:val="20"/>
                <w:szCs w:val="20"/>
                <w:lang w:val="id-ID"/>
              </w:rPr>
            </w:pPr>
            <w:r w:rsidRPr="003B50AC">
              <w:rPr>
                <w:sz w:val="20"/>
                <w:szCs w:val="20"/>
                <w:lang w:val="id-ID"/>
              </w:rPr>
              <w:t>10</w:t>
            </w:r>
          </w:p>
        </w:tc>
        <w:tc>
          <w:tcPr>
            <w:tcW w:w="1315" w:type="dxa"/>
            <w:tcBorders>
              <w:top w:val="nil"/>
              <w:left w:val="nil"/>
              <w:bottom w:val="single" w:sz="4" w:space="0" w:color="auto"/>
              <w:right w:val="nil"/>
            </w:tcBorders>
          </w:tcPr>
          <w:p w:rsidR="00AF61A1" w:rsidRPr="003B50AC" w:rsidRDefault="00AF61A1" w:rsidP="00DD45C0">
            <w:pPr>
              <w:ind w:left="60" w:right="60"/>
              <w:jc w:val="center"/>
              <w:rPr>
                <w:sz w:val="20"/>
                <w:szCs w:val="20"/>
                <w:lang w:val="id-ID"/>
              </w:rPr>
            </w:pPr>
            <w:r w:rsidRPr="003B50AC">
              <w:rPr>
                <w:sz w:val="20"/>
                <w:szCs w:val="20"/>
                <w:lang w:val="id-ID"/>
              </w:rPr>
              <w:t>12.5</w:t>
            </w:r>
          </w:p>
        </w:tc>
      </w:tr>
      <w:tr w:rsidR="00AF61A1" w:rsidRPr="003B50AC" w:rsidTr="00AF61A1">
        <w:trPr>
          <w:jc w:val="center"/>
        </w:trPr>
        <w:tc>
          <w:tcPr>
            <w:tcW w:w="377" w:type="dxa"/>
            <w:tcBorders>
              <w:top w:val="single" w:sz="4" w:space="0" w:color="auto"/>
              <w:bottom w:val="single" w:sz="4" w:space="0" w:color="auto"/>
            </w:tcBorders>
          </w:tcPr>
          <w:p w:rsidR="00AF61A1" w:rsidRPr="003B50AC" w:rsidRDefault="00AF61A1" w:rsidP="00D65741">
            <w:pPr>
              <w:ind w:left="-157" w:right="-108"/>
              <w:jc w:val="center"/>
              <w:rPr>
                <w:b/>
                <w:sz w:val="20"/>
                <w:szCs w:val="20"/>
                <w:lang w:val="id-ID"/>
              </w:rPr>
            </w:pPr>
            <w:r w:rsidRPr="003B50AC">
              <w:rPr>
                <w:b/>
                <w:sz w:val="20"/>
                <w:szCs w:val="20"/>
                <w:lang w:val="id-ID"/>
              </w:rPr>
              <w:t>3</w:t>
            </w:r>
          </w:p>
        </w:tc>
        <w:tc>
          <w:tcPr>
            <w:tcW w:w="1725" w:type="dxa"/>
            <w:tcBorders>
              <w:top w:val="single" w:sz="4" w:space="0" w:color="auto"/>
              <w:bottom w:val="single" w:sz="4" w:space="0" w:color="auto"/>
            </w:tcBorders>
          </w:tcPr>
          <w:p w:rsidR="00AF61A1" w:rsidRPr="003B50AC" w:rsidRDefault="00AF61A1" w:rsidP="00E319C9">
            <w:pPr>
              <w:ind w:left="-84" w:right="60"/>
              <w:rPr>
                <w:b/>
                <w:sz w:val="20"/>
                <w:szCs w:val="20"/>
                <w:lang w:val="id-ID"/>
              </w:rPr>
            </w:pPr>
            <w:r w:rsidRPr="003B50AC">
              <w:rPr>
                <w:b/>
                <w:sz w:val="20"/>
                <w:szCs w:val="20"/>
                <w:lang w:val="id-ID"/>
              </w:rPr>
              <w:t>Pekerjaan</w:t>
            </w:r>
          </w:p>
        </w:tc>
        <w:tc>
          <w:tcPr>
            <w:tcW w:w="1134" w:type="dxa"/>
            <w:tcBorders>
              <w:top w:val="single" w:sz="4" w:space="0" w:color="auto"/>
              <w:bottom w:val="single" w:sz="4" w:space="0" w:color="auto"/>
            </w:tcBorders>
          </w:tcPr>
          <w:p w:rsidR="00AF61A1" w:rsidRPr="003B50AC" w:rsidRDefault="00AF61A1" w:rsidP="00DD45C0">
            <w:pPr>
              <w:ind w:left="60" w:right="60"/>
              <w:jc w:val="center"/>
              <w:rPr>
                <w:sz w:val="20"/>
                <w:szCs w:val="20"/>
                <w:lang w:val="id-ID"/>
              </w:rPr>
            </w:pPr>
          </w:p>
        </w:tc>
        <w:tc>
          <w:tcPr>
            <w:tcW w:w="1315" w:type="dxa"/>
            <w:tcBorders>
              <w:top w:val="single" w:sz="4" w:space="0" w:color="auto"/>
              <w:bottom w:val="single" w:sz="4" w:space="0" w:color="auto"/>
            </w:tcBorders>
          </w:tcPr>
          <w:p w:rsidR="00AF61A1" w:rsidRPr="003B50AC" w:rsidRDefault="00AF61A1" w:rsidP="00DD45C0">
            <w:pPr>
              <w:ind w:left="60" w:right="60"/>
              <w:jc w:val="center"/>
              <w:rPr>
                <w:sz w:val="20"/>
                <w:szCs w:val="20"/>
                <w:lang w:val="id-ID"/>
              </w:rPr>
            </w:pPr>
          </w:p>
        </w:tc>
      </w:tr>
      <w:tr w:rsidR="00AF61A1" w:rsidRPr="003B50AC" w:rsidTr="00AF61A1">
        <w:trPr>
          <w:jc w:val="center"/>
        </w:trPr>
        <w:tc>
          <w:tcPr>
            <w:tcW w:w="377" w:type="dxa"/>
            <w:tcBorders>
              <w:top w:val="single" w:sz="4" w:space="0" w:color="auto"/>
              <w:bottom w:val="nil"/>
            </w:tcBorders>
          </w:tcPr>
          <w:p w:rsidR="00AF61A1" w:rsidRPr="003B50AC" w:rsidRDefault="00AF61A1" w:rsidP="00D65741">
            <w:pPr>
              <w:ind w:left="-157" w:right="-108"/>
              <w:jc w:val="center"/>
              <w:rPr>
                <w:sz w:val="20"/>
                <w:szCs w:val="20"/>
              </w:rPr>
            </w:pPr>
          </w:p>
        </w:tc>
        <w:tc>
          <w:tcPr>
            <w:tcW w:w="1725" w:type="dxa"/>
            <w:tcBorders>
              <w:top w:val="single" w:sz="4" w:space="0" w:color="auto"/>
              <w:bottom w:val="nil"/>
            </w:tcBorders>
          </w:tcPr>
          <w:p w:rsidR="00AF61A1" w:rsidRPr="003B50AC" w:rsidRDefault="00AF61A1" w:rsidP="00E319C9">
            <w:pPr>
              <w:ind w:left="-84" w:right="60"/>
              <w:rPr>
                <w:sz w:val="20"/>
                <w:szCs w:val="20"/>
                <w:lang w:val="id-ID"/>
              </w:rPr>
            </w:pPr>
            <w:r w:rsidRPr="003B50AC">
              <w:rPr>
                <w:sz w:val="20"/>
                <w:szCs w:val="20"/>
                <w:lang w:val="id-ID"/>
              </w:rPr>
              <w:t>IRT</w:t>
            </w:r>
          </w:p>
        </w:tc>
        <w:tc>
          <w:tcPr>
            <w:tcW w:w="1134" w:type="dxa"/>
            <w:tcBorders>
              <w:top w:val="single" w:sz="4" w:space="0" w:color="auto"/>
              <w:bottom w:val="nil"/>
            </w:tcBorders>
          </w:tcPr>
          <w:p w:rsidR="00AF61A1" w:rsidRPr="003B50AC" w:rsidRDefault="00AF61A1" w:rsidP="00DD45C0">
            <w:pPr>
              <w:ind w:left="60" w:right="60"/>
              <w:jc w:val="center"/>
              <w:rPr>
                <w:sz w:val="20"/>
                <w:szCs w:val="20"/>
                <w:lang w:val="id-ID"/>
              </w:rPr>
            </w:pPr>
            <w:r w:rsidRPr="003B50AC">
              <w:rPr>
                <w:sz w:val="20"/>
                <w:szCs w:val="20"/>
                <w:lang w:val="id-ID"/>
              </w:rPr>
              <w:t>44</w:t>
            </w:r>
          </w:p>
        </w:tc>
        <w:tc>
          <w:tcPr>
            <w:tcW w:w="1315" w:type="dxa"/>
            <w:tcBorders>
              <w:top w:val="single" w:sz="4" w:space="0" w:color="auto"/>
              <w:bottom w:val="nil"/>
            </w:tcBorders>
          </w:tcPr>
          <w:p w:rsidR="00AF61A1" w:rsidRPr="003B50AC" w:rsidRDefault="00AF61A1" w:rsidP="00DD45C0">
            <w:pPr>
              <w:ind w:left="60" w:right="60"/>
              <w:jc w:val="center"/>
              <w:rPr>
                <w:sz w:val="20"/>
                <w:szCs w:val="20"/>
                <w:lang w:val="id-ID"/>
              </w:rPr>
            </w:pPr>
            <w:r w:rsidRPr="003B50AC">
              <w:rPr>
                <w:sz w:val="20"/>
                <w:szCs w:val="20"/>
                <w:lang w:val="id-ID"/>
              </w:rPr>
              <w:t>55.0</w:t>
            </w:r>
          </w:p>
        </w:tc>
      </w:tr>
      <w:tr w:rsidR="00AF61A1" w:rsidRPr="003B50AC" w:rsidTr="00AF61A1">
        <w:trPr>
          <w:jc w:val="center"/>
        </w:trPr>
        <w:tc>
          <w:tcPr>
            <w:tcW w:w="377" w:type="dxa"/>
            <w:tcBorders>
              <w:top w:val="nil"/>
              <w:bottom w:val="nil"/>
            </w:tcBorders>
          </w:tcPr>
          <w:p w:rsidR="00AF61A1" w:rsidRPr="003B50AC" w:rsidRDefault="00AF61A1" w:rsidP="00D65741">
            <w:pPr>
              <w:ind w:left="-157" w:right="-108"/>
              <w:jc w:val="center"/>
              <w:rPr>
                <w:sz w:val="20"/>
                <w:szCs w:val="20"/>
              </w:rPr>
            </w:pPr>
          </w:p>
        </w:tc>
        <w:tc>
          <w:tcPr>
            <w:tcW w:w="1725" w:type="dxa"/>
            <w:tcBorders>
              <w:top w:val="nil"/>
              <w:bottom w:val="nil"/>
            </w:tcBorders>
          </w:tcPr>
          <w:p w:rsidR="00AF61A1" w:rsidRPr="003B50AC" w:rsidRDefault="00AF61A1" w:rsidP="00E319C9">
            <w:pPr>
              <w:ind w:left="-84" w:right="60"/>
              <w:rPr>
                <w:sz w:val="20"/>
                <w:szCs w:val="20"/>
                <w:lang w:val="id-ID"/>
              </w:rPr>
            </w:pPr>
            <w:r w:rsidRPr="003B50AC">
              <w:rPr>
                <w:sz w:val="20"/>
                <w:szCs w:val="20"/>
                <w:lang w:val="id-ID"/>
              </w:rPr>
              <w:t>WIRASWASTA</w:t>
            </w:r>
          </w:p>
        </w:tc>
        <w:tc>
          <w:tcPr>
            <w:tcW w:w="1134" w:type="dxa"/>
            <w:tcBorders>
              <w:top w:val="nil"/>
              <w:bottom w:val="nil"/>
            </w:tcBorders>
          </w:tcPr>
          <w:p w:rsidR="00AF61A1" w:rsidRPr="003B50AC" w:rsidRDefault="00AF61A1" w:rsidP="00DD45C0">
            <w:pPr>
              <w:ind w:left="60" w:right="60"/>
              <w:jc w:val="center"/>
              <w:rPr>
                <w:sz w:val="20"/>
                <w:szCs w:val="20"/>
                <w:lang w:val="id-ID"/>
              </w:rPr>
            </w:pPr>
            <w:r w:rsidRPr="003B50AC">
              <w:rPr>
                <w:sz w:val="20"/>
                <w:szCs w:val="20"/>
                <w:lang w:val="id-ID"/>
              </w:rPr>
              <w:t>2</w:t>
            </w:r>
          </w:p>
        </w:tc>
        <w:tc>
          <w:tcPr>
            <w:tcW w:w="1315" w:type="dxa"/>
            <w:tcBorders>
              <w:top w:val="nil"/>
              <w:bottom w:val="nil"/>
            </w:tcBorders>
          </w:tcPr>
          <w:p w:rsidR="00AF61A1" w:rsidRPr="003B50AC" w:rsidRDefault="00AF61A1" w:rsidP="00DD45C0">
            <w:pPr>
              <w:ind w:left="60" w:right="60"/>
              <w:jc w:val="center"/>
              <w:rPr>
                <w:sz w:val="20"/>
                <w:szCs w:val="20"/>
                <w:lang w:val="id-ID"/>
              </w:rPr>
            </w:pPr>
            <w:r w:rsidRPr="003B50AC">
              <w:rPr>
                <w:sz w:val="20"/>
                <w:szCs w:val="20"/>
                <w:lang w:val="id-ID"/>
              </w:rPr>
              <w:t>2.5</w:t>
            </w:r>
          </w:p>
        </w:tc>
      </w:tr>
      <w:tr w:rsidR="00AF61A1" w:rsidRPr="003B50AC" w:rsidTr="00AF61A1">
        <w:trPr>
          <w:jc w:val="center"/>
        </w:trPr>
        <w:tc>
          <w:tcPr>
            <w:tcW w:w="377" w:type="dxa"/>
            <w:tcBorders>
              <w:top w:val="nil"/>
              <w:bottom w:val="nil"/>
            </w:tcBorders>
          </w:tcPr>
          <w:p w:rsidR="00AF61A1" w:rsidRPr="003B50AC" w:rsidRDefault="00AF61A1" w:rsidP="00D65741">
            <w:pPr>
              <w:ind w:left="-157" w:right="-108"/>
              <w:jc w:val="center"/>
              <w:rPr>
                <w:sz w:val="20"/>
                <w:szCs w:val="20"/>
              </w:rPr>
            </w:pPr>
          </w:p>
        </w:tc>
        <w:tc>
          <w:tcPr>
            <w:tcW w:w="1725" w:type="dxa"/>
            <w:tcBorders>
              <w:top w:val="nil"/>
              <w:bottom w:val="nil"/>
            </w:tcBorders>
          </w:tcPr>
          <w:p w:rsidR="00AF61A1" w:rsidRPr="003B50AC" w:rsidRDefault="00AF61A1" w:rsidP="00E319C9">
            <w:pPr>
              <w:ind w:left="-84" w:right="60"/>
              <w:rPr>
                <w:sz w:val="20"/>
                <w:szCs w:val="20"/>
                <w:lang w:val="id-ID"/>
              </w:rPr>
            </w:pPr>
            <w:r w:rsidRPr="003B50AC">
              <w:rPr>
                <w:sz w:val="20"/>
                <w:szCs w:val="20"/>
                <w:lang w:val="id-ID"/>
              </w:rPr>
              <w:t>KARYAWAN</w:t>
            </w:r>
          </w:p>
        </w:tc>
        <w:tc>
          <w:tcPr>
            <w:tcW w:w="1134" w:type="dxa"/>
            <w:tcBorders>
              <w:top w:val="nil"/>
              <w:bottom w:val="nil"/>
            </w:tcBorders>
          </w:tcPr>
          <w:p w:rsidR="00AF61A1" w:rsidRPr="003B50AC" w:rsidRDefault="00AF61A1" w:rsidP="00DD45C0">
            <w:pPr>
              <w:ind w:left="60" w:right="60"/>
              <w:jc w:val="center"/>
              <w:rPr>
                <w:sz w:val="20"/>
                <w:szCs w:val="20"/>
                <w:lang w:val="id-ID"/>
              </w:rPr>
            </w:pPr>
            <w:r w:rsidRPr="003B50AC">
              <w:rPr>
                <w:sz w:val="20"/>
                <w:szCs w:val="20"/>
                <w:lang w:val="id-ID"/>
              </w:rPr>
              <w:t>6</w:t>
            </w:r>
          </w:p>
        </w:tc>
        <w:tc>
          <w:tcPr>
            <w:tcW w:w="1315" w:type="dxa"/>
            <w:tcBorders>
              <w:top w:val="nil"/>
              <w:bottom w:val="nil"/>
            </w:tcBorders>
          </w:tcPr>
          <w:p w:rsidR="00AF61A1" w:rsidRPr="003B50AC" w:rsidRDefault="00AF61A1" w:rsidP="00DD45C0">
            <w:pPr>
              <w:ind w:left="60" w:right="60"/>
              <w:jc w:val="center"/>
              <w:rPr>
                <w:sz w:val="20"/>
                <w:szCs w:val="20"/>
                <w:lang w:val="id-ID"/>
              </w:rPr>
            </w:pPr>
            <w:r w:rsidRPr="003B50AC">
              <w:rPr>
                <w:sz w:val="20"/>
                <w:szCs w:val="20"/>
                <w:lang w:val="id-ID"/>
              </w:rPr>
              <w:t>7.5</w:t>
            </w:r>
          </w:p>
        </w:tc>
      </w:tr>
      <w:tr w:rsidR="00AF61A1" w:rsidRPr="003B50AC" w:rsidTr="00AF61A1">
        <w:trPr>
          <w:jc w:val="center"/>
        </w:trPr>
        <w:tc>
          <w:tcPr>
            <w:tcW w:w="377" w:type="dxa"/>
            <w:tcBorders>
              <w:top w:val="nil"/>
              <w:bottom w:val="single" w:sz="4" w:space="0" w:color="auto"/>
            </w:tcBorders>
          </w:tcPr>
          <w:p w:rsidR="00AF61A1" w:rsidRPr="003B50AC" w:rsidRDefault="00AF61A1" w:rsidP="00D65741">
            <w:pPr>
              <w:ind w:left="-157" w:right="-108"/>
              <w:jc w:val="center"/>
              <w:rPr>
                <w:sz w:val="20"/>
                <w:szCs w:val="20"/>
              </w:rPr>
            </w:pPr>
          </w:p>
        </w:tc>
        <w:tc>
          <w:tcPr>
            <w:tcW w:w="1725" w:type="dxa"/>
            <w:tcBorders>
              <w:top w:val="nil"/>
              <w:bottom w:val="single" w:sz="4" w:space="0" w:color="auto"/>
            </w:tcBorders>
          </w:tcPr>
          <w:p w:rsidR="00AF61A1" w:rsidRPr="003B50AC" w:rsidRDefault="00AF61A1" w:rsidP="00E319C9">
            <w:pPr>
              <w:ind w:left="-84" w:right="60"/>
              <w:rPr>
                <w:sz w:val="20"/>
                <w:szCs w:val="20"/>
                <w:lang w:val="id-ID"/>
              </w:rPr>
            </w:pPr>
            <w:r w:rsidRPr="003B50AC">
              <w:rPr>
                <w:sz w:val="20"/>
                <w:szCs w:val="20"/>
                <w:lang w:val="id-ID"/>
              </w:rPr>
              <w:t>PETANI</w:t>
            </w:r>
          </w:p>
        </w:tc>
        <w:tc>
          <w:tcPr>
            <w:tcW w:w="1134" w:type="dxa"/>
            <w:tcBorders>
              <w:top w:val="nil"/>
              <w:bottom w:val="single" w:sz="4" w:space="0" w:color="auto"/>
            </w:tcBorders>
          </w:tcPr>
          <w:p w:rsidR="00AF61A1" w:rsidRPr="003B50AC" w:rsidRDefault="00AF61A1" w:rsidP="00DD45C0">
            <w:pPr>
              <w:ind w:left="60" w:right="60"/>
              <w:jc w:val="center"/>
              <w:rPr>
                <w:sz w:val="20"/>
                <w:szCs w:val="20"/>
                <w:lang w:val="id-ID"/>
              </w:rPr>
            </w:pPr>
            <w:r w:rsidRPr="003B50AC">
              <w:rPr>
                <w:sz w:val="20"/>
                <w:szCs w:val="20"/>
                <w:lang w:val="id-ID"/>
              </w:rPr>
              <w:t>28</w:t>
            </w:r>
          </w:p>
        </w:tc>
        <w:tc>
          <w:tcPr>
            <w:tcW w:w="1315" w:type="dxa"/>
            <w:tcBorders>
              <w:top w:val="nil"/>
              <w:bottom w:val="single" w:sz="4" w:space="0" w:color="auto"/>
            </w:tcBorders>
          </w:tcPr>
          <w:p w:rsidR="00AF61A1" w:rsidRPr="003B50AC" w:rsidRDefault="00AF61A1" w:rsidP="00DD45C0">
            <w:pPr>
              <w:ind w:left="60" w:right="60"/>
              <w:jc w:val="center"/>
              <w:rPr>
                <w:sz w:val="20"/>
                <w:szCs w:val="20"/>
                <w:lang w:val="id-ID"/>
              </w:rPr>
            </w:pPr>
            <w:r w:rsidRPr="003B50AC">
              <w:rPr>
                <w:sz w:val="20"/>
                <w:szCs w:val="20"/>
                <w:lang w:val="id-ID"/>
              </w:rPr>
              <w:t>35.0</w:t>
            </w:r>
          </w:p>
        </w:tc>
      </w:tr>
      <w:tr w:rsidR="00E319C9" w:rsidRPr="003B50AC" w:rsidTr="00E319C9">
        <w:trPr>
          <w:trHeight w:val="77"/>
          <w:jc w:val="center"/>
        </w:trPr>
        <w:tc>
          <w:tcPr>
            <w:tcW w:w="2102" w:type="dxa"/>
            <w:gridSpan w:val="2"/>
            <w:tcBorders>
              <w:top w:val="single" w:sz="4" w:space="0" w:color="auto"/>
              <w:bottom w:val="single" w:sz="4" w:space="0" w:color="auto"/>
            </w:tcBorders>
          </w:tcPr>
          <w:p w:rsidR="00E319C9" w:rsidRPr="003B50AC" w:rsidRDefault="00E319C9" w:rsidP="00D65741">
            <w:pPr>
              <w:ind w:left="-157" w:right="60"/>
              <w:jc w:val="center"/>
              <w:rPr>
                <w:sz w:val="20"/>
                <w:szCs w:val="20"/>
              </w:rPr>
            </w:pPr>
            <w:r w:rsidRPr="003B50AC">
              <w:rPr>
                <w:sz w:val="20"/>
                <w:szCs w:val="20"/>
              </w:rPr>
              <w:t>Jumlah</w:t>
            </w:r>
          </w:p>
        </w:tc>
        <w:tc>
          <w:tcPr>
            <w:tcW w:w="1134" w:type="dxa"/>
            <w:tcBorders>
              <w:top w:val="single" w:sz="4" w:space="0" w:color="auto"/>
              <w:bottom w:val="single" w:sz="4" w:space="0" w:color="auto"/>
            </w:tcBorders>
          </w:tcPr>
          <w:p w:rsidR="00E319C9" w:rsidRPr="003B50AC" w:rsidRDefault="00AF61A1" w:rsidP="00DF702F">
            <w:pPr>
              <w:ind w:left="60" w:right="60"/>
              <w:jc w:val="center"/>
              <w:rPr>
                <w:sz w:val="20"/>
                <w:szCs w:val="20"/>
                <w:lang w:val="id-ID"/>
              </w:rPr>
            </w:pPr>
            <w:r w:rsidRPr="003B50AC">
              <w:rPr>
                <w:sz w:val="20"/>
                <w:szCs w:val="20"/>
                <w:lang w:val="id-ID"/>
              </w:rPr>
              <w:t>80</w:t>
            </w:r>
          </w:p>
        </w:tc>
        <w:tc>
          <w:tcPr>
            <w:tcW w:w="1315" w:type="dxa"/>
            <w:tcBorders>
              <w:top w:val="single" w:sz="4" w:space="0" w:color="auto"/>
              <w:bottom w:val="single" w:sz="4" w:space="0" w:color="auto"/>
            </w:tcBorders>
          </w:tcPr>
          <w:p w:rsidR="00E319C9" w:rsidRPr="003B50AC" w:rsidRDefault="00E319C9" w:rsidP="00DF702F">
            <w:pPr>
              <w:ind w:left="60" w:right="60"/>
              <w:jc w:val="center"/>
              <w:rPr>
                <w:sz w:val="20"/>
                <w:szCs w:val="20"/>
              </w:rPr>
            </w:pPr>
            <w:r w:rsidRPr="003B50AC">
              <w:rPr>
                <w:sz w:val="20"/>
                <w:szCs w:val="20"/>
              </w:rPr>
              <w:t>100</w:t>
            </w:r>
          </w:p>
        </w:tc>
      </w:tr>
    </w:tbl>
    <w:p w:rsidR="000A19C5" w:rsidRDefault="000A19C5">
      <w:pPr>
        <w:pBdr>
          <w:top w:val="nil"/>
          <w:left w:val="nil"/>
          <w:bottom w:val="nil"/>
          <w:right w:val="nil"/>
          <w:between w:val="nil"/>
        </w:pBdr>
        <w:jc w:val="both"/>
        <w:rPr>
          <w:rFonts w:eastAsia="Times New Roman"/>
          <w:b/>
          <w:color w:val="000000"/>
          <w:sz w:val="22"/>
          <w:szCs w:val="22"/>
          <w:lang w:val="id-ID"/>
        </w:rPr>
      </w:pPr>
    </w:p>
    <w:p w:rsidR="003F4A35" w:rsidRDefault="003F4A35" w:rsidP="00E319C9">
      <w:pPr>
        <w:ind w:firstLine="709"/>
        <w:jc w:val="both"/>
        <w:rPr>
          <w:rFonts w:eastAsia="Times New Roman"/>
          <w:bCs/>
          <w:color w:val="000000"/>
          <w:sz w:val="22"/>
          <w:szCs w:val="22"/>
          <w:lang w:val="id-ID"/>
        </w:rPr>
      </w:pPr>
      <w:r w:rsidRPr="003F4A35">
        <w:rPr>
          <w:rFonts w:eastAsia="Times New Roman"/>
          <w:color w:val="000000"/>
          <w:sz w:val="22"/>
          <w:szCs w:val="22"/>
          <w:lang w:val="id-ID"/>
        </w:rPr>
        <w:t>Berdasarkan distribusi karakteristik responden</w:t>
      </w:r>
      <w:r w:rsidR="00D65741">
        <w:rPr>
          <w:rFonts w:eastAsia="Times New Roman"/>
          <w:color w:val="000000"/>
          <w:sz w:val="22"/>
          <w:szCs w:val="22"/>
        </w:rPr>
        <w:t xml:space="preserve"> </w:t>
      </w:r>
      <w:r w:rsidR="00594909" w:rsidRPr="00594909">
        <w:rPr>
          <w:rFonts w:eastAsia="Times New Roman"/>
          <w:bCs/>
          <w:color w:val="000000"/>
          <w:sz w:val="22"/>
          <w:szCs w:val="22"/>
          <w:lang w:val="id-ID"/>
        </w:rPr>
        <w:t xml:space="preserve">diatas </w:t>
      </w:r>
      <w:r w:rsidR="00AF61A1" w:rsidRPr="00AF61A1">
        <w:rPr>
          <w:rFonts w:eastAsia="Times New Roman"/>
          <w:bCs/>
          <w:color w:val="000000"/>
          <w:sz w:val="22"/>
          <w:szCs w:val="22"/>
          <w:lang w:val="id-ID"/>
        </w:rPr>
        <w:t>di dapatkan bahwa sebagian besar responden</w:t>
      </w:r>
      <w:r w:rsidR="00AF61A1" w:rsidRPr="00AF61A1">
        <w:rPr>
          <w:rFonts w:eastAsia="Times New Roman"/>
          <w:bCs/>
          <w:color w:val="000000"/>
          <w:sz w:val="22"/>
          <w:szCs w:val="22"/>
        </w:rPr>
        <w:t xml:space="preserve"> </w:t>
      </w:r>
      <w:r w:rsidR="00AF61A1" w:rsidRPr="00AF61A1">
        <w:rPr>
          <w:rFonts w:eastAsia="Times New Roman"/>
          <w:bCs/>
          <w:color w:val="000000"/>
          <w:sz w:val="22"/>
          <w:szCs w:val="22"/>
          <w:lang w:val="id-ID"/>
        </w:rPr>
        <w:t>di wilayah kerja puskesmas ranuyoso memiliki usia 31-40 tahun sebanyak 48 responden (60%).</w:t>
      </w:r>
      <w:r w:rsidR="00AF61A1">
        <w:rPr>
          <w:rFonts w:eastAsia="Times New Roman"/>
          <w:bCs/>
          <w:color w:val="000000"/>
          <w:sz w:val="22"/>
          <w:szCs w:val="22"/>
          <w:lang w:val="id-ID"/>
        </w:rPr>
        <w:t xml:space="preserve"> Karakteristik Pendidikan </w:t>
      </w:r>
      <w:r w:rsidR="00AF61A1" w:rsidRPr="00AF61A1">
        <w:rPr>
          <w:rFonts w:eastAsia="Times New Roman"/>
          <w:bCs/>
          <w:color w:val="000000"/>
          <w:sz w:val="22"/>
          <w:szCs w:val="22"/>
          <w:lang w:val="id-ID"/>
        </w:rPr>
        <w:t>di dapatkan bahwa sebagian besar responden</w:t>
      </w:r>
      <w:r w:rsidR="00AF61A1" w:rsidRPr="00AF61A1">
        <w:rPr>
          <w:rFonts w:eastAsia="Times New Roman"/>
          <w:bCs/>
          <w:color w:val="000000"/>
          <w:sz w:val="22"/>
          <w:szCs w:val="22"/>
        </w:rPr>
        <w:t xml:space="preserve"> </w:t>
      </w:r>
      <w:r w:rsidR="00AF61A1" w:rsidRPr="00AF61A1">
        <w:rPr>
          <w:rFonts w:eastAsia="Times New Roman"/>
          <w:bCs/>
          <w:color w:val="000000"/>
          <w:sz w:val="22"/>
          <w:szCs w:val="22"/>
          <w:lang w:val="id-ID"/>
        </w:rPr>
        <w:t>di wilayah kerja puskesmas ranuyoso memiliki pendidikan taraf SMP sebanyak 48 responden (60%).</w:t>
      </w:r>
      <w:r w:rsidR="00AF61A1" w:rsidRPr="00AF61A1">
        <w:rPr>
          <w:rFonts w:ascii="Arial" w:eastAsia="Times New Roman" w:hAnsi="Arial" w:cs="Arial"/>
          <w:sz w:val="22"/>
          <w:szCs w:val="22"/>
          <w:lang w:val="id-ID" w:eastAsia="id-ID"/>
          <w14:ligatures w14:val="standardContextual"/>
        </w:rPr>
        <w:t xml:space="preserve"> </w:t>
      </w:r>
      <w:r w:rsidR="00AF61A1" w:rsidRPr="00AF61A1">
        <w:rPr>
          <w:rFonts w:eastAsia="Times New Roman"/>
          <w:bCs/>
          <w:color w:val="000000"/>
          <w:sz w:val="22"/>
          <w:szCs w:val="22"/>
          <w:lang w:val="id-ID"/>
        </w:rPr>
        <w:t>Berdasakan Distribusi frekuensi pekerjaan di dapatkan bahwa sebagian besar responden</w:t>
      </w:r>
      <w:r w:rsidR="00AF61A1" w:rsidRPr="00AF61A1">
        <w:rPr>
          <w:rFonts w:eastAsia="Times New Roman"/>
          <w:bCs/>
          <w:color w:val="000000"/>
          <w:sz w:val="22"/>
          <w:szCs w:val="22"/>
        </w:rPr>
        <w:t xml:space="preserve"> </w:t>
      </w:r>
      <w:r w:rsidR="00AF61A1" w:rsidRPr="00AF61A1">
        <w:rPr>
          <w:rFonts w:eastAsia="Times New Roman"/>
          <w:bCs/>
          <w:color w:val="000000"/>
          <w:sz w:val="22"/>
          <w:szCs w:val="22"/>
          <w:lang w:val="id-ID"/>
        </w:rPr>
        <w:t>di wilayah kerja puskesmas ranuyoso memiliki pekerjaan sebagai IRT sebanyak 44 responden (55%).</w:t>
      </w:r>
    </w:p>
    <w:p w:rsidR="00C53765" w:rsidRPr="00C53765" w:rsidRDefault="00C53765" w:rsidP="00C53765">
      <w:pPr>
        <w:ind w:firstLine="709"/>
        <w:jc w:val="both"/>
        <w:rPr>
          <w:rFonts w:eastAsia="Times New Roman"/>
          <w:color w:val="000000"/>
          <w:sz w:val="22"/>
          <w:szCs w:val="22"/>
          <w:lang w:val="id-ID"/>
        </w:rPr>
      </w:pPr>
    </w:p>
    <w:p w:rsidR="00030875" w:rsidRPr="003B50AC" w:rsidRDefault="003F4A35" w:rsidP="003B50AC">
      <w:pPr>
        <w:pBdr>
          <w:top w:val="nil"/>
          <w:left w:val="nil"/>
          <w:bottom w:val="nil"/>
          <w:right w:val="nil"/>
          <w:between w:val="nil"/>
        </w:pBdr>
        <w:jc w:val="both"/>
        <w:rPr>
          <w:rFonts w:eastAsia="Times New Roman"/>
          <w:color w:val="000000"/>
          <w:sz w:val="22"/>
          <w:szCs w:val="22"/>
          <w:lang w:val="id-ID"/>
        </w:rPr>
      </w:pPr>
      <w:r w:rsidRPr="00D65741">
        <w:rPr>
          <w:rFonts w:eastAsia="Times New Roman"/>
          <w:color w:val="000000"/>
          <w:sz w:val="22"/>
          <w:szCs w:val="22"/>
          <w:lang w:val="id-ID"/>
        </w:rPr>
        <w:t>Tabel</w:t>
      </w:r>
      <w:r w:rsidR="00D65741">
        <w:rPr>
          <w:rFonts w:eastAsia="Times New Roman"/>
          <w:color w:val="000000"/>
          <w:sz w:val="22"/>
          <w:szCs w:val="22"/>
        </w:rPr>
        <w:t xml:space="preserve"> 2.</w:t>
      </w:r>
      <w:r w:rsidRPr="00D65741">
        <w:rPr>
          <w:rFonts w:eastAsia="Times New Roman"/>
          <w:color w:val="000000"/>
          <w:sz w:val="22"/>
          <w:szCs w:val="22"/>
          <w:lang w:val="id-ID"/>
        </w:rPr>
        <w:t xml:space="preserve"> </w:t>
      </w:r>
      <w:r w:rsidR="00AF61A1" w:rsidRPr="003B50AC">
        <w:rPr>
          <w:rFonts w:eastAsia="Times New Roman"/>
          <w:bCs/>
          <w:color w:val="000000"/>
          <w:sz w:val="22"/>
          <w:szCs w:val="22"/>
          <w:lang w:val="id-ID"/>
        </w:rPr>
        <w:t>Identifikasi faktor-faktor terhadap ODGJ pa</w:t>
      </w:r>
      <w:r w:rsidR="003B50AC">
        <w:rPr>
          <w:rFonts w:eastAsia="Times New Roman"/>
          <w:bCs/>
          <w:color w:val="000000"/>
          <w:sz w:val="22"/>
          <w:szCs w:val="22"/>
          <w:lang w:val="id-ID"/>
        </w:rPr>
        <w:t>sung diwilayah kerja puskesmas R</w:t>
      </w:r>
      <w:r w:rsidR="00AF61A1" w:rsidRPr="003B50AC">
        <w:rPr>
          <w:rFonts w:eastAsia="Times New Roman"/>
          <w:bCs/>
          <w:color w:val="000000"/>
          <w:sz w:val="22"/>
          <w:szCs w:val="22"/>
          <w:lang w:val="id-ID"/>
        </w:rPr>
        <w:t>anuyoso</w:t>
      </w:r>
    </w:p>
    <w:tbl>
      <w:tblPr>
        <w:tblStyle w:val="TableGrid"/>
        <w:tblW w:w="4370"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26"/>
        <w:gridCol w:w="1387"/>
        <w:gridCol w:w="1457"/>
      </w:tblGrid>
      <w:tr w:rsidR="00594909" w:rsidRPr="00D65741" w:rsidTr="00AF61A1">
        <w:trPr>
          <w:trHeight w:val="259"/>
        </w:trPr>
        <w:tc>
          <w:tcPr>
            <w:tcW w:w="1526" w:type="dxa"/>
            <w:tcBorders>
              <w:top w:val="single" w:sz="4" w:space="0" w:color="auto"/>
              <w:bottom w:val="single" w:sz="4" w:space="0" w:color="auto"/>
            </w:tcBorders>
            <w:vAlign w:val="center"/>
          </w:tcPr>
          <w:p w:rsidR="00594909" w:rsidRPr="00AF61A1" w:rsidRDefault="00AF61A1" w:rsidP="00DA53F7">
            <w:pPr>
              <w:pBdr>
                <w:top w:val="nil"/>
                <w:left w:val="nil"/>
                <w:bottom w:val="nil"/>
                <w:right w:val="nil"/>
                <w:between w:val="nil"/>
              </w:pBdr>
              <w:ind w:firstLine="17"/>
              <w:jc w:val="center"/>
              <w:rPr>
                <w:rFonts w:eastAsia="Times New Roman"/>
                <w:b/>
                <w:bCs/>
                <w:color w:val="000000"/>
                <w:sz w:val="20"/>
                <w:szCs w:val="22"/>
                <w:lang w:val="id-ID"/>
              </w:rPr>
            </w:pPr>
            <w:r>
              <w:rPr>
                <w:rFonts w:eastAsia="Times New Roman"/>
                <w:b/>
                <w:bCs/>
                <w:color w:val="000000"/>
                <w:sz w:val="20"/>
                <w:szCs w:val="22"/>
                <w:lang w:val="id-ID"/>
              </w:rPr>
              <w:t>Karakteristik</w:t>
            </w:r>
          </w:p>
        </w:tc>
        <w:tc>
          <w:tcPr>
            <w:tcW w:w="1387" w:type="dxa"/>
            <w:tcBorders>
              <w:top w:val="single" w:sz="4" w:space="0" w:color="auto"/>
              <w:bottom w:val="single" w:sz="4" w:space="0" w:color="auto"/>
            </w:tcBorders>
            <w:vAlign w:val="center"/>
          </w:tcPr>
          <w:p w:rsidR="00594909" w:rsidRPr="00AF61A1" w:rsidRDefault="00AF61A1" w:rsidP="00DA53F7">
            <w:pPr>
              <w:pBdr>
                <w:top w:val="nil"/>
                <w:left w:val="nil"/>
                <w:bottom w:val="nil"/>
                <w:right w:val="nil"/>
                <w:between w:val="nil"/>
              </w:pBdr>
              <w:ind w:firstLine="33"/>
              <w:jc w:val="center"/>
              <w:rPr>
                <w:rFonts w:eastAsia="Times New Roman"/>
                <w:b/>
                <w:bCs/>
                <w:color w:val="000000"/>
                <w:sz w:val="20"/>
                <w:szCs w:val="22"/>
                <w:lang w:val="id-ID"/>
              </w:rPr>
            </w:pPr>
            <w:r w:rsidRPr="00AF61A1">
              <w:rPr>
                <w:rFonts w:eastAsia="Times New Roman"/>
                <w:b/>
                <w:bCs/>
                <w:color w:val="000000"/>
                <w:sz w:val="20"/>
                <w:szCs w:val="22"/>
                <w:lang w:val="id-ID"/>
              </w:rPr>
              <w:t>Frekuensi</w:t>
            </w:r>
          </w:p>
        </w:tc>
        <w:tc>
          <w:tcPr>
            <w:tcW w:w="1457" w:type="dxa"/>
            <w:tcBorders>
              <w:top w:val="single" w:sz="4" w:space="0" w:color="auto"/>
              <w:bottom w:val="single" w:sz="4" w:space="0" w:color="auto"/>
            </w:tcBorders>
            <w:vAlign w:val="center"/>
          </w:tcPr>
          <w:p w:rsidR="00594909" w:rsidRPr="00AF61A1" w:rsidRDefault="00AF61A1" w:rsidP="00DA53F7">
            <w:pPr>
              <w:pBdr>
                <w:top w:val="nil"/>
                <w:left w:val="nil"/>
                <w:bottom w:val="nil"/>
                <w:right w:val="nil"/>
                <w:between w:val="nil"/>
              </w:pBdr>
              <w:jc w:val="center"/>
              <w:rPr>
                <w:rFonts w:eastAsia="Times New Roman"/>
                <w:b/>
                <w:bCs/>
                <w:color w:val="000000"/>
                <w:sz w:val="20"/>
                <w:szCs w:val="22"/>
                <w:lang w:val="id-ID"/>
              </w:rPr>
            </w:pPr>
            <w:r w:rsidRPr="00AF61A1">
              <w:rPr>
                <w:rFonts w:eastAsia="Times New Roman"/>
                <w:b/>
                <w:bCs/>
                <w:color w:val="000000"/>
                <w:sz w:val="20"/>
                <w:szCs w:val="22"/>
                <w:lang w:val="id-ID"/>
              </w:rPr>
              <w:t>Persentase</w:t>
            </w:r>
          </w:p>
        </w:tc>
      </w:tr>
      <w:tr w:rsidR="00AF61A1" w:rsidRPr="00D65741" w:rsidTr="00AF61A1">
        <w:trPr>
          <w:trHeight w:val="259"/>
        </w:trPr>
        <w:tc>
          <w:tcPr>
            <w:tcW w:w="4370" w:type="dxa"/>
            <w:gridSpan w:val="3"/>
            <w:tcBorders>
              <w:top w:val="single" w:sz="4" w:space="0" w:color="auto"/>
              <w:bottom w:val="single" w:sz="4" w:space="0" w:color="auto"/>
            </w:tcBorders>
          </w:tcPr>
          <w:p w:rsidR="00AF61A1" w:rsidRPr="00AF61A1" w:rsidRDefault="00AF61A1" w:rsidP="00AF61A1">
            <w:pPr>
              <w:pBdr>
                <w:top w:val="nil"/>
                <w:left w:val="nil"/>
                <w:bottom w:val="nil"/>
                <w:right w:val="nil"/>
                <w:between w:val="nil"/>
              </w:pBdr>
              <w:rPr>
                <w:rFonts w:eastAsia="Times New Roman"/>
                <w:b/>
                <w:color w:val="000000"/>
                <w:sz w:val="20"/>
                <w:szCs w:val="22"/>
                <w:lang w:val="id-ID"/>
              </w:rPr>
            </w:pPr>
            <w:r w:rsidRPr="00AF61A1">
              <w:rPr>
                <w:rFonts w:eastAsia="Times New Roman"/>
                <w:b/>
                <w:color w:val="000000"/>
                <w:sz w:val="20"/>
                <w:szCs w:val="22"/>
                <w:lang w:val="id-ID"/>
              </w:rPr>
              <w:t>Faktor Sosial budaya</w:t>
            </w:r>
          </w:p>
        </w:tc>
      </w:tr>
      <w:tr w:rsidR="00594909" w:rsidRPr="00D65741" w:rsidTr="00AF61A1">
        <w:trPr>
          <w:trHeight w:val="259"/>
        </w:trPr>
        <w:tc>
          <w:tcPr>
            <w:tcW w:w="1526" w:type="dxa"/>
            <w:tcBorders>
              <w:top w:val="single" w:sz="4" w:space="0" w:color="auto"/>
              <w:bottom w:val="nil"/>
            </w:tcBorders>
          </w:tcPr>
          <w:p w:rsidR="00594909" w:rsidRPr="00D65741" w:rsidRDefault="00AF61A1" w:rsidP="00D65741">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Baik</w:t>
            </w:r>
          </w:p>
        </w:tc>
        <w:tc>
          <w:tcPr>
            <w:tcW w:w="1387" w:type="dxa"/>
            <w:tcBorders>
              <w:top w:val="single" w:sz="4" w:space="0" w:color="auto"/>
              <w:bottom w:val="nil"/>
            </w:tcBorders>
          </w:tcPr>
          <w:p w:rsidR="00594909" w:rsidRPr="00D65741" w:rsidRDefault="00AF61A1"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62</w:t>
            </w:r>
          </w:p>
        </w:tc>
        <w:tc>
          <w:tcPr>
            <w:tcW w:w="1457" w:type="dxa"/>
            <w:tcBorders>
              <w:top w:val="single" w:sz="4" w:space="0" w:color="auto"/>
              <w:bottom w:val="nil"/>
            </w:tcBorders>
          </w:tcPr>
          <w:p w:rsidR="00594909" w:rsidRPr="00D65741" w:rsidRDefault="00AF61A1"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77.5</w:t>
            </w:r>
          </w:p>
        </w:tc>
      </w:tr>
      <w:tr w:rsidR="00594909" w:rsidRPr="00D65741" w:rsidTr="009A15F9">
        <w:trPr>
          <w:trHeight w:val="259"/>
        </w:trPr>
        <w:tc>
          <w:tcPr>
            <w:tcW w:w="1526" w:type="dxa"/>
            <w:tcBorders>
              <w:top w:val="nil"/>
              <w:bottom w:val="nil"/>
            </w:tcBorders>
          </w:tcPr>
          <w:p w:rsidR="00594909" w:rsidRPr="00D65741" w:rsidRDefault="00AF61A1" w:rsidP="00D65741">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Cukup</w:t>
            </w:r>
          </w:p>
        </w:tc>
        <w:tc>
          <w:tcPr>
            <w:tcW w:w="1387" w:type="dxa"/>
            <w:tcBorders>
              <w:top w:val="nil"/>
              <w:bottom w:val="nil"/>
            </w:tcBorders>
          </w:tcPr>
          <w:p w:rsidR="00594909" w:rsidRPr="00D65741" w:rsidRDefault="00AF61A1"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18</w:t>
            </w:r>
          </w:p>
        </w:tc>
        <w:tc>
          <w:tcPr>
            <w:tcW w:w="1457" w:type="dxa"/>
            <w:tcBorders>
              <w:top w:val="nil"/>
              <w:bottom w:val="nil"/>
            </w:tcBorders>
          </w:tcPr>
          <w:p w:rsidR="00594909" w:rsidRPr="00D65741" w:rsidRDefault="00AF61A1"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22.5</w:t>
            </w:r>
          </w:p>
        </w:tc>
      </w:tr>
      <w:tr w:rsidR="00DA53F7" w:rsidRPr="00D65741" w:rsidTr="00410CD0">
        <w:trPr>
          <w:trHeight w:val="259"/>
        </w:trPr>
        <w:tc>
          <w:tcPr>
            <w:tcW w:w="1526" w:type="dxa"/>
            <w:tcBorders>
              <w:top w:val="nil"/>
              <w:bottom w:val="single" w:sz="4" w:space="0" w:color="auto"/>
            </w:tcBorders>
          </w:tcPr>
          <w:p w:rsidR="00DA53F7" w:rsidRDefault="00AF61A1" w:rsidP="00D65741">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Kurang</w:t>
            </w:r>
          </w:p>
        </w:tc>
        <w:tc>
          <w:tcPr>
            <w:tcW w:w="1387" w:type="dxa"/>
            <w:tcBorders>
              <w:top w:val="nil"/>
              <w:bottom w:val="single" w:sz="4" w:space="0" w:color="auto"/>
            </w:tcBorders>
          </w:tcPr>
          <w:p w:rsidR="00DA53F7" w:rsidRDefault="00AF61A1"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0</w:t>
            </w:r>
          </w:p>
        </w:tc>
        <w:tc>
          <w:tcPr>
            <w:tcW w:w="1457" w:type="dxa"/>
            <w:tcBorders>
              <w:top w:val="nil"/>
              <w:bottom w:val="single" w:sz="4" w:space="0" w:color="auto"/>
            </w:tcBorders>
          </w:tcPr>
          <w:p w:rsidR="00DA53F7" w:rsidRDefault="00AF61A1"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0</w:t>
            </w:r>
          </w:p>
        </w:tc>
      </w:tr>
      <w:tr w:rsidR="00AF61A1" w:rsidRPr="00D65741" w:rsidTr="00410CD0">
        <w:trPr>
          <w:trHeight w:val="259"/>
        </w:trPr>
        <w:tc>
          <w:tcPr>
            <w:tcW w:w="4370" w:type="dxa"/>
            <w:gridSpan w:val="3"/>
            <w:tcBorders>
              <w:top w:val="single" w:sz="4" w:space="0" w:color="auto"/>
              <w:bottom w:val="single" w:sz="4" w:space="0" w:color="auto"/>
            </w:tcBorders>
          </w:tcPr>
          <w:p w:rsidR="00AF61A1" w:rsidRPr="00AF61A1" w:rsidRDefault="00AF61A1" w:rsidP="00410CD0">
            <w:pPr>
              <w:rPr>
                <w:rFonts w:eastAsia="Times New Roman"/>
                <w:b/>
                <w:color w:val="000000"/>
                <w:sz w:val="20"/>
                <w:szCs w:val="22"/>
                <w:lang w:val="id-ID"/>
              </w:rPr>
            </w:pPr>
            <w:r w:rsidRPr="00AF61A1">
              <w:rPr>
                <w:rFonts w:eastAsia="Times New Roman"/>
                <w:b/>
                <w:color w:val="000000"/>
                <w:sz w:val="20"/>
                <w:szCs w:val="22"/>
                <w:lang w:val="id-ID"/>
              </w:rPr>
              <w:t>Faktor Pengetahuan</w:t>
            </w:r>
          </w:p>
        </w:tc>
      </w:tr>
      <w:tr w:rsidR="00AF61A1" w:rsidRPr="00D65741" w:rsidTr="00410CD0">
        <w:trPr>
          <w:trHeight w:val="259"/>
        </w:trPr>
        <w:tc>
          <w:tcPr>
            <w:tcW w:w="1526" w:type="dxa"/>
            <w:tcBorders>
              <w:top w:val="single" w:sz="4" w:space="0" w:color="auto"/>
              <w:bottom w:val="nil"/>
            </w:tcBorders>
          </w:tcPr>
          <w:p w:rsidR="00AF61A1" w:rsidRPr="00D65741" w:rsidRDefault="00AF61A1"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Baik</w:t>
            </w:r>
          </w:p>
        </w:tc>
        <w:tc>
          <w:tcPr>
            <w:tcW w:w="1387" w:type="dxa"/>
            <w:tcBorders>
              <w:top w:val="single" w:sz="4" w:space="0" w:color="auto"/>
              <w:bottom w:val="nil"/>
            </w:tcBorders>
          </w:tcPr>
          <w:p w:rsidR="00AF61A1" w:rsidRDefault="00AF61A1"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66</w:t>
            </w:r>
          </w:p>
        </w:tc>
        <w:tc>
          <w:tcPr>
            <w:tcW w:w="1457" w:type="dxa"/>
            <w:tcBorders>
              <w:top w:val="single" w:sz="4" w:space="0" w:color="auto"/>
              <w:bottom w:val="nil"/>
            </w:tcBorders>
          </w:tcPr>
          <w:p w:rsidR="00AF61A1" w:rsidRDefault="00AF61A1"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82.5</w:t>
            </w:r>
          </w:p>
        </w:tc>
      </w:tr>
      <w:tr w:rsidR="00AF61A1" w:rsidRPr="00D65741" w:rsidTr="00AF61A1">
        <w:trPr>
          <w:trHeight w:val="259"/>
        </w:trPr>
        <w:tc>
          <w:tcPr>
            <w:tcW w:w="1526" w:type="dxa"/>
            <w:tcBorders>
              <w:top w:val="nil"/>
              <w:bottom w:val="nil"/>
            </w:tcBorders>
          </w:tcPr>
          <w:p w:rsidR="00AF61A1" w:rsidRPr="00D65741" w:rsidRDefault="00AF61A1"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Cukup</w:t>
            </w:r>
          </w:p>
        </w:tc>
        <w:tc>
          <w:tcPr>
            <w:tcW w:w="1387" w:type="dxa"/>
            <w:tcBorders>
              <w:top w:val="nil"/>
              <w:bottom w:val="nil"/>
            </w:tcBorders>
          </w:tcPr>
          <w:p w:rsidR="00AF61A1" w:rsidRDefault="00AF61A1"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14</w:t>
            </w:r>
          </w:p>
        </w:tc>
        <w:tc>
          <w:tcPr>
            <w:tcW w:w="1457" w:type="dxa"/>
            <w:tcBorders>
              <w:top w:val="nil"/>
              <w:bottom w:val="nil"/>
            </w:tcBorders>
          </w:tcPr>
          <w:p w:rsidR="00AF61A1" w:rsidRDefault="00AF61A1"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17.5</w:t>
            </w:r>
          </w:p>
        </w:tc>
      </w:tr>
      <w:tr w:rsidR="00AF61A1" w:rsidRPr="00D65741" w:rsidTr="00410CD0">
        <w:trPr>
          <w:trHeight w:val="259"/>
        </w:trPr>
        <w:tc>
          <w:tcPr>
            <w:tcW w:w="1526" w:type="dxa"/>
            <w:tcBorders>
              <w:top w:val="nil"/>
              <w:bottom w:val="single" w:sz="4" w:space="0" w:color="auto"/>
            </w:tcBorders>
          </w:tcPr>
          <w:p w:rsidR="00AF61A1" w:rsidRDefault="00AF61A1"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Kurang</w:t>
            </w:r>
          </w:p>
        </w:tc>
        <w:tc>
          <w:tcPr>
            <w:tcW w:w="1387" w:type="dxa"/>
            <w:tcBorders>
              <w:top w:val="nil"/>
              <w:bottom w:val="single" w:sz="4" w:space="0" w:color="auto"/>
            </w:tcBorders>
          </w:tcPr>
          <w:p w:rsidR="00AF61A1" w:rsidRDefault="00AF61A1"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0</w:t>
            </w:r>
          </w:p>
        </w:tc>
        <w:tc>
          <w:tcPr>
            <w:tcW w:w="1457" w:type="dxa"/>
            <w:tcBorders>
              <w:top w:val="nil"/>
              <w:bottom w:val="single" w:sz="4" w:space="0" w:color="auto"/>
            </w:tcBorders>
          </w:tcPr>
          <w:p w:rsidR="00AF61A1" w:rsidRDefault="00AF61A1"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0</w:t>
            </w:r>
          </w:p>
        </w:tc>
      </w:tr>
      <w:tr w:rsidR="00410CD0" w:rsidRPr="00D65741" w:rsidTr="00410CD0">
        <w:trPr>
          <w:trHeight w:val="259"/>
        </w:trPr>
        <w:tc>
          <w:tcPr>
            <w:tcW w:w="4370" w:type="dxa"/>
            <w:gridSpan w:val="3"/>
            <w:tcBorders>
              <w:top w:val="single" w:sz="4" w:space="0" w:color="auto"/>
              <w:bottom w:val="single" w:sz="4" w:space="0" w:color="auto"/>
            </w:tcBorders>
            <w:vAlign w:val="center"/>
          </w:tcPr>
          <w:p w:rsidR="00410CD0" w:rsidRPr="00410CD0" w:rsidRDefault="00410CD0" w:rsidP="00410CD0">
            <w:pPr>
              <w:pBdr>
                <w:top w:val="nil"/>
                <w:left w:val="nil"/>
                <w:bottom w:val="nil"/>
                <w:right w:val="nil"/>
                <w:between w:val="nil"/>
              </w:pBdr>
              <w:rPr>
                <w:rFonts w:eastAsia="Times New Roman"/>
                <w:b/>
                <w:color w:val="000000"/>
                <w:sz w:val="20"/>
                <w:szCs w:val="22"/>
                <w:lang w:val="id-ID"/>
              </w:rPr>
            </w:pPr>
            <w:r w:rsidRPr="00410CD0">
              <w:rPr>
                <w:rFonts w:eastAsia="Times New Roman"/>
                <w:b/>
                <w:color w:val="000000"/>
                <w:sz w:val="20"/>
                <w:szCs w:val="22"/>
                <w:lang w:val="id-ID"/>
              </w:rPr>
              <w:t>Faktor Ekonomi</w:t>
            </w:r>
          </w:p>
        </w:tc>
      </w:tr>
      <w:tr w:rsidR="00410CD0" w:rsidRPr="00D65741" w:rsidTr="00410CD0">
        <w:trPr>
          <w:trHeight w:val="259"/>
        </w:trPr>
        <w:tc>
          <w:tcPr>
            <w:tcW w:w="1526" w:type="dxa"/>
            <w:tcBorders>
              <w:top w:val="single" w:sz="4" w:space="0" w:color="auto"/>
              <w:bottom w:val="nil"/>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&gt;UMR</w:t>
            </w:r>
          </w:p>
        </w:tc>
        <w:tc>
          <w:tcPr>
            <w:tcW w:w="1387" w:type="dxa"/>
            <w:tcBorders>
              <w:top w:val="single" w:sz="4" w:space="0" w:color="auto"/>
              <w:bottom w:val="nil"/>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8</w:t>
            </w:r>
          </w:p>
        </w:tc>
        <w:tc>
          <w:tcPr>
            <w:tcW w:w="1457" w:type="dxa"/>
            <w:tcBorders>
              <w:top w:val="single" w:sz="4" w:space="0" w:color="auto"/>
              <w:bottom w:val="nil"/>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10.0</w:t>
            </w:r>
          </w:p>
        </w:tc>
      </w:tr>
      <w:tr w:rsidR="00410CD0" w:rsidRPr="00D65741" w:rsidTr="00410CD0">
        <w:trPr>
          <w:trHeight w:val="259"/>
        </w:trPr>
        <w:tc>
          <w:tcPr>
            <w:tcW w:w="1526" w:type="dxa"/>
            <w:tcBorders>
              <w:top w:val="nil"/>
              <w:bottom w:val="single" w:sz="4" w:space="0" w:color="auto"/>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&lt;UMR</w:t>
            </w:r>
          </w:p>
        </w:tc>
        <w:tc>
          <w:tcPr>
            <w:tcW w:w="1387" w:type="dxa"/>
            <w:tcBorders>
              <w:top w:val="nil"/>
              <w:bottom w:val="single" w:sz="4" w:space="0" w:color="auto"/>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72</w:t>
            </w:r>
          </w:p>
        </w:tc>
        <w:tc>
          <w:tcPr>
            <w:tcW w:w="1457" w:type="dxa"/>
            <w:tcBorders>
              <w:top w:val="nil"/>
              <w:bottom w:val="single" w:sz="4" w:space="0" w:color="auto"/>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90.0</w:t>
            </w:r>
          </w:p>
          <w:p w:rsidR="003B50AC" w:rsidRDefault="003B50AC" w:rsidP="004F7AAA">
            <w:pPr>
              <w:pBdr>
                <w:top w:val="nil"/>
                <w:left w:val="nil"/>
                <w:bottom w:val="nil"/>
                <w:right w:val="nil"/>
                <w:between w:val="nil"/>
              </w:pBdr>
              <w:jc w:val="center"/>
              <w:rPr>
                <w:rFonts w:eastAsia="Times New Roman"/>
                <w:color w:val="000000"/>
                <w:sz w:val="20"/>
                <w:szCs w:val="22"/>
                <w:lang w:val="id-ID"/>
              </w:rPr>
            </w:pPr>
          </w:p>
        </w:tc>
      </w:tr>
      <w:tr w:rsidR="00410CD0" w:rsidRPr="00D65741" w:rsidTr="00410CD0">
        <w:trPr>
          <w:trHeight w:val="259"/>
        </w:trPr>
        <w:tc>
          <w:tcPr>
            <w:tcW w:w="4370" w:type="dxa"/>
            <w:gridSpan w:val="3"/>
            <w:tcBorders>
              <w:top w:val="nil"/>
              <w:bottom w:val="single" w:sz="4" w:space="0" w:color="auto"/>
            </w:tcBorders>
            <w:vAlign w:val="center"/>
          </w:tcPr>
          <w:p w:rsidR="00410CD0" w:rsidRPr="00410CD0" w:rsidRDefault="00410CD0" w:rsidP="00410CD0">
            <w:pPr>
              <w:pBdr>
                <w:top w:val="nil"/>
                <w:left w:val="nil"/>
                <w:bottom w:val="nil"/>
                <w:right w:val="nil"/>
                <w:between w:val="nil"/>
              </w:pBdr>
              <w:rPr>
                <w:rFonts w:eastAsia="Times New Roman"/>
                <w:b/>
                <w:color w:val="000000"/>
                <w:sz w:val="20"/>
                <w:szCs w:val="22"/>
                <w:lang w:val="id-ID"/>
              </w:rPr>
            </w:pPr>
            <w:r w:rsidRPr="00410CD0">
              <w:rPr>
                <w:rFonts w:eastAsia="Times New Roman"/>
                <w:b/>
                <w:color w:val="000000"/>
                <w:sz w:val="20"/>
                <w:szCs w:val="22"/>
                <w:lang w:val="id-ID"/>
              </w:rPr>
              <w:t>Faktor Lingkungan</w:t>
            </w:r>
          </w:p>
        </w:tc>
      </w:tr>
      <w:tr w:rsidR="00410CD0" w:rsidRPr="00D65741" w:rsidTr="00410CD0">
        <w:trPr>
          <w:trHeight w:val="259"/>
        </w:trPr>
        <w:tc>
          <w:tcPr>
            <w:tcW w:w="1526" w:type="dxa"/>
            <w:tcBorders>
              <w:top w:val="nil"/>
              <w:bottom w:val="nil"/>
            </w:tcBorders>
          </w:tcPr>
          <w:p w:rsidR="00410CD0" w:rsidRPr="00D65741"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Baik</w:t>
            </w:r>
          </w:p>
        </w:tc>
        <w:tc>
          <w:tcPr>
            <w:tcW w:w="1387" w:type="dxa"/>
            <w:tcBorders>
              <w:top w:val="nil"/>
              <w:bottom w:val="nil"/>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62</w:t>
            </w:r>
          </w:p>
        </w:tc>
        <w:tc>
          <w:tcPr>
            <w:tcW w:w="1457" w:type="dxa"/>
            <w:tcBorders>
              <w:top w:val="nil"/>
              <w:bottom w:val="nil"/>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77.5</w:t>
            </w:r>
          </w:p>
        </w:tc>
      </w:tr>
      <w:tr w:rsidR="00410CD0" w:rsidRPr="00D65741" w:rsidTr="00410CD0">
        <w:trPr>
          <w:trHeight w:val="259"/>
        </w:trPr>
        <w:tc>
          <w:tcPr>
            <w:tcW w:w="1526" w:type="dxa"/>
            <w:tcBorders>
              <w:top w:val="nil"/>
              <w:bottom w:val="nil"/>
            </w:tcBorders>
          </w:tcPr>
          <w:p w:rsidR="00410CD0" w:rsidRPr="00D65741"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Cukup</w:t>
            </w:r>
          </w:p>
        </w:tc>
        <w:tc>
          <w:tcPr>
            <w:tcW w:w="1387" w:type="dxa"/>
            <w:tcBorders>
              <w:top w:val="nil"/>
              <w:bottom w:val="nil"/>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18</w:t>
            </w:r>
          </w:p>
        </w:tc>
        <w:tc>
          <w:tcPr>
            <w:tcW w:w="1457" w:type="dxa"/>
            <w:tcBorders>
              <w:top w:val="nil"/>
              <w:bottom w:val="nil"/>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22.5</w:t>
            </w:r>
          </w:p>
        </w:tc>
      </w:tr>
      <w:tr w:rsidR="00410CD0" w:rsidRPr="00D65741" w:rsidTr="00410CD0">
        <w:trPr>
          <w:trHeight w:val="259"/>
        </w:trPr>
        <w:tc>
          <w:tcPr>
            <w:tcW w:w="1526" w:type="dxa"/>
            <w:tcBorders>
              <w:top w:val="nil"/>
              <w:bottom w:val="single" w:sz="4" w:space="0" w:color="auto"/>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Kurang</w:t>
            </w:r>
          </w:p>
        </w:tc>
        <w:tc>
          <w:tcPr>
            <w:tcW w:w="1387" w:type="dxa"/>
            <w:tcBorders>
              <w:top w:val="nil"/>
              <w:bottom w:val="single" w:sz="4" w:space="0" w:color="auto"/>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0</w:t>
            </w:r>
          </w:p>
        </w:tc>
        <w:tc>
          <w:tcPr>
            <w:tcW w:w="1457" w:type="dxa"/>
            <w:tcBorders>
              <w:top w:val="nil"/>
              <w:bottom w:val="single" w:sz="4" w:space="0" w:color="auto"/>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0</w:t>
            </w:r>
          </w:p>
        </w:tc>
      </w:tr>
      <w:tr w:rsidR="00410CD0" w:rsidRPr="00D65741" w:rsidTr="00410CD0">
        <w:trPr>
          <w:trHeight w:val="259"/>
        </w:trPr>
        <w:tc>
          <w:tcPr>
            <w:tcW w:w="1526" w:type="dxa"/>
            <w:tcBorders>
              <w:top w:val="nil"/>
              <w:bottom w:val="single" w:sz="4" w:space="0" w:color="auto"/>
            </w:tcBorders>
          </w:tcPr>
          <w:p w:rsidR="00410CD0" w:rsidRPr="00410CD0" w:rsidRDefault="00410CD0" w:rsidP="001255F9">
            <w:pPr>
              <w:pBdr>
                <w:top w:val="nil"/>
                <w:left w:val="nil"/>
                <w:bottom w:val="nil"/>
                <w:right w:val="nil"/>
                <w:between w:val="nil"/>
              </w:pBdr>
              <w:ind w:firstLine="17"/>
              <w:rPr>
                <w:rFonts w:eastAsia="Times New Roman"/>
                <w:b/>
                <w:color w:val="000000"/>
                <w:sz w:val="20"/>
                <w:szCs w:val="22"/>
                <w:lang w:val="id-ID"/>
              </w:rPr>
            </w:pPr>
            <w:r w:rsidRPr="00410CD0">
              <w:rPr>
                <w:rFonts w:eastAsia="Times New Roman"/>
                <w:b/>
                <w:color w:val="000000"/>
                <w:sz w:val="20"/>
                <w:szCs w:val="22"/>
                <w:lang w:val="id-ID"/>
              </w:rPr>
              <w:t>Empati</w:t>
            </w:r>
          </w:p>
        </w:tc>
        <w:tc>
          <w:tcPr>
            <w:tcW w:w="1387" w:type="dxa"/>
            <w:tcBorders>
              <w:top w:val="nil"/>
              <w:bottom w:val="single" w:sz="4" w:space="0" w:color="auto"/>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p>
        </w:tc>
        <w:tc>
          <w:tcPr>
            <w:tcW w:w="1457" w:type="dxa"/>
            <w:tcBorders>
              <w:top w:val="nil"/>
              <w:bottom w:val="single" w:sz="4" w:space="0" w:color="auto"/>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p>
        </w:tc>
      </w:tr>
      <w:tr w:rsidR="00410CD0" w:rsidRPr="00D65741" w:rsidTr="00410CD0">
        <w:trPr>
          <w:trHeight w:val="259"/>
        </w:trPr>
        <w:tc>
          <w:tcPr>
            <w:tcW w:w="1526" w:type="dxa"/>
            <w:tcBorders>
              <w:top w:val="nil"/>
              <w:bottom w:val="nil"/>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lastRenderedPageBreak/>
              <w:t>Tinggi</w:t>
            </w:r>
          </w:p>
        </w:tc>
        <w:tc>
          <w:tcPr>
            <w:tcW w:w="1387" w:type="dxa"/>
            <w:tcBorders>
              <w:top w:val="nil"/>
              <w:bottom w:val="nil"/>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64</w:t>
            </w:r>
          </w:p>
        </w:tc>
        <w:tc>
          <w:tcPr>
            <w:tcW w:w="1457" w:type="dxa"/>
            <w:tcBorders>
              <w:top w:val="nil"/>
              <w:bottom w:val="nil"/>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80.0</w:t>
            </w:r>
          </w:p>
        </w:tc>
      </w:tr>
      <w:tr w:rsidR="00410CD0" w:rsidRPr="00D65741" w:rsidTr="00410CD0">
        <w:trPr>
          <w:trHeight w:val="259"/>
        </w:trPr>
        <w:tc>
          <w:tcPr>
            <w:tcW w:w="1526" w:type="dxa"/>
            <w:tcBorders>
              <w:top w:val="nil"/>
              <w:bottom w:val="nil"/>
            </w:tcBorders>
          </w:tcPr>
          <w:p w:rsidR="00410CD0" w:rsidRDefault="00410CD0" w:rsidP="00410CD0">
            <w:pPr>
              <w:ind w:firstLine="17"/>
              <w:rPr>
                <w:rFonts w:eastAsia="Times New Roman"/>
                <w:color w:val="000000"/>
                <w:sz w:val="20"/>
                <w:szCs w:val="22"/>
                <w:lang w:val="id-ID"/>
              </w:rPr>
            </w:pPr>
            <w:r>
              <w:rPr>
                <w:rFonts w:eastAsia="Times New Roman"/>
                <w:color w:val="000000"/>
                <w:sz w:val="20"/>
                <w:szCs w:val="22"/>
                <w:lang w:val="id-ID"/>
              </w:rPr>
              <w:t>Sedang</w:t>
            </w:r>
          </w:p>
        </w:tc>
        <w:tc>
          <w:tcPr>
            <w:tcW w:w="1387" w:type="dxa"/>
            <w:tcBorders>
              <w:top w:val="nil"/>
              <w:bottom w:val="nil"/>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16</w:t>
            </w:r>
          </w:p>
        </w:tc>
        <w:tc>
          <w:tcPr>
            <w:tcW w:w="1457" w:type="dxa"/>
            <w:tcBorders>
              <w:top w:val="nil"/>
              <w:bottom w:val="nil"/>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20.0</w:t>
            </w:r>
          </w:p>
        </w:tc>
      </w:tr>
      <w:tr w:rsidR="00410CD0" w:rsidRPr="00D65741" w:rsidTr="00410CD0">
        <w:trPr>
          <w:trHeight w:val="259"/>
        </w:trPr>
        <w:tc>
          <w:tcPr>
            <w:tcW w:w="1526" w:type="dxa"/>
            <w:tcBorders>
              <w:top w:val="nil"/>
              <w:bottom w:val="single" w:sz="4" w:space="0" w:color="auto"/>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Rendah</w:t>
            </w:r>
          </w:p>
        </w:tc>
        <w:tc>
          <w:tcPr>
            <w:tcW w:w="1387" w:type="dxa"/>
            <w:tcBorders>
              <w:top w:val="nil"/>
              <w:bottom w:val="single" w:sz="4" w:space="0" w:color="auto"/>
            </w:tcBorders>
          </w:tcPr>
          <w:p w:rsidR="00410CD0" w:rsidRDefault="00410CD0" w:rsidP="004F7AAA">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0</w:t>
            </w:r>
          </w:p>
        </w:tc>
        <w:tc>
          <w:tcPr>
            <w:tcW w:w="1457" w:type="dxa"/>
            <w:tcBorders>
              <w:top w:val="nil"/>
              <w:bottom w:val="single" w:sz="4" w:space="0" w:color="auto"/>
            </w:tcBorders>
          </w:tcPr>
          <w:p w:rsidR="00410CD0" w:rsidRDefault="00410CD0" w:rsidP="004F7AAA">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0</w:t>
            </w:r>
          </w:p>
        </w:tc>
      </w:tr>
      <w:tr w:rsidR="00410CD0" w:rsidRPr="00D65741" w:rsidTr="00410CD0">
        <w:trPr>
          <w:trHeight w:val="259"/>
        </w:trPr>
        <w:tc>
          <w:tcPr>
            <w:tcW w:w="1526" w:type="dxa"/>
            <w:tcBorders>
              <w:top w:val="single" w:sz="4" w:space="0" w:color="auto"/>
              <w:bottom w:val="single" w:sz="4" w:space="0" w:color="auto"/>
            </w:tcBorders>
          </w:tcPr>
          <w:p w:rsidR="00410CD0" w:rsidRDefault="00410CD0" w:rsidP="001255F9">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Total</w:t>
            </w:r>
          </w:p>
        </w:tc>
        <w:tc>
          <w:tcPr>
            <w:tcW w:w="1387" w:type="dxa"/>
            <w:tcBorders>
              <w:top w:val="single" w:sz="4" w:space="0" w:color="auto"/>
              <w:bottom w:val="single" w:sz="4" w:space="0" w:color="auto"/>
            </w:tcBorders>
          </w:tcPr>
          <w:p w:rsidR="00410CD0" w:rsidRDefault="00410CD0" w:rsidP="001255F9">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80</w:t>
            </w:r>
          </w:p>
        </w:tc>
        <w:tc>
          <w:tcPr>
            <w:tcW w:w="1457" w:type="dxa"/>
            <w:tcBorders>
              <w:top w:val="single" w:sz="4" w:space="0" w:color="auto"/>
              <w:bottom w:val="single" w:sz="4" w:space="0" w:color="auto"/>
            </w:tcBorders>
          </w:tcPr>
          <w:p w:rsidR="00410CD0" w:rsidRDefault="00410CD0" w:rsidP="001255F9">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100</w:t>
            </w:r>
          </w:p>
        </w:tc>
      </w:tr>
    </w:tbl>
    <w:p w:rsidR="00410CD0" w:rsidRPr="00410CD0" w:rsidRDefault="00DA53F7" w:rsidP="00410CD0">
      <w:pPr>
        <w:pBdr>
          <w:top w:val="nil"/>
          <w:left w:val="nil"/>
          <w:bottom w:val="nil"/>
          <w:right w:val="nil"/>
          <w:between w:val="nil"/>
        </w:pBdr>
        <w:ind w:firstLine="709"/>
        <w:jc w:val="both"/>
        <w:rPr>
          <w:rFonts w:eastAsia="Times New Roman"/>
          <w:color w:val="000000"/>
          <w:sz w:val="22"/>
          <w:szCs w:val="22"/>
          <w:lang w:val="id-ID"/>
        </w:rPr>
      </w:pPr>
      <w:r w:rsidRPr="00DA53F7">
        <w:rPr>
          <w:rFonts w:eastAsia="Times New Roman"/>
          <w:color w:val="000000"/>
          <w:sz w:val="22"/>
          <w:szCs w:val="22"/>
          <w:lang w:val="id-ID"/>
        </w:rPr>
        <w:t>Berdasarkan</w:t>
      </w:r>
      <w:r w:rsidRPr="00DA53F7">
        <w:rPr>
          <w:rFonts w:eastAsia="Times New Roman"/>
          <w:color w:val="000000"/>
          <w:sz w:val="22"/>
          <w:szCs w:val="22"/>
          <w:lang w:val="id"/>
        </w:rPr>
        <w:t xml:space="preserve"> </w:t>
      </w:r>
      <w:r w:rsidRPr="00DA53F7">
        <w:rPr>
          <w:rFonts w:eastAsia="Times New Roman"/>
          <w:color w:val="000000"/>
          <w:sz w:val="22"/>
          <w:szCs w:val="22"/>
          <w:lang w:val="id-ID"/>
        </w:rPr>
        <w:t xml:space="preserve">tabel diatas </w:t>
      </w:r>
      <w:r w:rsidR="00410CD0" w:rsidRPr="00410CD0">
        <w:rPr>
          <w:rFonts w:eastAsia="Times New Roman"/>
          <w:color w:val="000000"/>
          <w:sz w:val="22"/>
          <w:szCs w:val="22"/>
          <w:lang w:val="id-ID"/>
        </w:rPr>
        <w:t xml:space="preserve">di dapatkan bahwa </w:t>
      </w:r>
      <w:r w:rsidR="00410CD0">
        <w:rPr>
          <w:rFonts w:eastAsia="Times New Roman"/>
          <w:color w:val="000000"/>
          <w:sz w:val="22"/>
          <w:szCs w:val="22"/>
          <w:lang w:val="id-ID"/>
        </w:rPr>
        <w:t xml:space="preserve">pada karakteristik faktor sosial budaya masyarakat </w:t>
      </w:r>
      <w:r w:rsidR="00410CD0" w:rsidRPr="00410CD0">
        <w:rPr>
          <w:rFonts w:eastAsia="Times New Roman"/>
          <w:color w:val="000000"/>
          <w:sz w:val="22"/>
          <w:szCs w:val="22"/>
          <w:lang w:val="id-ID"/>
        </w:rPr>
        <w:t>sebagian besar responden</w:t>
      </w:r>
      <w:r w:rsidR="00410CD0" w:rsidRPr="00410CD0">
        <w:rPr>
          <w:rFonts w:eastAsia="Times New Roman"/>
          <w:color w:val="000000"/>
          <w:sz w:val="22"/>
          <w:szCs w:val="22"/>
        </w:rPr>
        <w:t xml:space="preserve"> </w:t>
      </w:r>
      <w:r w:rsidR="00410CD0" w:rsidRPr="00410CD0">
        <w:rPr>
          <w:rFonts w:eastAsia="Times New Roman"/>
          <w:color w:val="000000"/>
          <w:sz w:val="22"/>
          <w:szCs w:val="22"/>
          <w:lang w:val="id-ID"/>
        </w:rPr>
        <w:t>di wilayah kerja puskesmas ranuyoso memiliki faktor sosial budaya kategori baik sebanyak 62 responden (77,5%).</w:t>
      </w:r>
      <w:r w:rsidR="00410CD0">
        <w:rPr>
          <w:rFonts w:eastAsia="Times New Roman"/>
          <w:color w:val="000000"/>
          <w:sz w:val="22"/>
          <w:szCs w:val="22"/>
          <w:lang w:val="id-ID"/>
        </w:rPr>
        <w:t xml:space="preserve"> Berdasarkan karakteristik faktor Pengetahuan </w:t>
      </w:r>
      <w:r w:rsidR="00410CD0" w:rsidRPr="00410CD0">
        <w:rPr>
          <w:rFonts w:eastAsia="Times New Roman"/>
          <w:color w:val="000000"/>
          <w:sz w:val="22"/>
          <w:szCs w:val="22"/>
          <w:lang w:val="id-ID"/>
        </w:rPr>
        <w:t>di dapatkan bahwa hampir seluruh responden</w:t>
      </w:r>
      <w:r w:rsidR="00410CD0" w:rsidRPr="00410CD0">
        <w:rPr>
          <w:rFonts w:eastAsia="Times New Roman"/>
          <w:color w:val="000000"/>
          <w:sz w:val="22"/>
          <w:szCs w:val="22"/>
        </w:rPr>
        <w:t xml:space="preserve"> </w:t>
      </w:r>
      <w:r w:rsidR="00410CD0" w:rsidRPr="00410CD0">
        <w:rPr>
          <w:rFonts w:eastAsia="Times New Roman"/>
          <w:color w:val="000000"/>
          <w:sz w:val="22"/>
          <w:szCs w:val="22"/>
          <w:lang w:val="id-ID"/>
        </w:rPr>
        <w:t>di wilayah kerja puskesmas ranuyoso memiliki faktor pengetahuan kategori baik sebanyak 66 responden (82,5%).</w:t>
      </w:r>
      <w:r w:rsidR="00410CD0">
        <w:rPr>
          <w:rFonts w:eastAsia="Times New Roman"/>
          <w:color w:val="000000"/>
          <w:sz w:val="22"/>
          <w:szCs w:val="22"/>
          <w:lang w:val="id-ID"/>
        </w:rPr>
        <w:t xml:space="preserve"> Berdasarkan karakteristik faktor Ekonomi </w:t>
      </w:r>
      <w:r w:rsidR="00410CD0" w:rsidRPr="00410CD0">
        <w:rPr>
          <w:rFonts w:eastAsia="Times New Roman"/>
          <w:color w:val="000000"/>
          <w:sz w:val="22"/>
          <w:szCs w:val="22"/>
          <w:lang w:val="id-ID"/>
        </w:rPr>
        <w:t>di dapatkan bahwa hampir seluruh responden</w:t>
      </w:r>
      <w:r w:rsidR="00410CD0" w:rsidRPr="00410CD0">
        <w:rPr>
          <w:rFonts w:eastAsia="Times New Roman"/>
          <w:color w:val="000000"/>
          <w:sz w:val="22"/>
          <w:szCs w:val="22"/>
        </w:rPr>
        <w:t xml:space="preserve"> </w:t>
      </w:r>
      <w:r w:rsidR="00410CD0" w:rsidRPr="00410CD0">
        <w:rPr>
          <w:rFonts w:eastAsia="Times New Roman"/>
          <w:color w:val="000000"/>
          <w:sz w:val="22"/>
          <w:szCs w:val="22"/>
          <w:lang w:val="id-ID"/>
        </w:rPr>
        <w:t>di wilayah kerja puskesmas ranuyoso memiliki faktor ekonomi kategori gaji dibawah UMR sebanyak 72 responden (90%).</w:t>
      </w:r>
      <w:r w:rsidR="00410CD0">
        <w:rPr>
          <w:rFonts w:eastAsia="Times New Roman"/>
          <w:color w:val="000000"/>
          <w:sz w:val="22"/>
          <w:szCs w:val="22"/>
          <w:lang w:val="id-ID"/>
        </w:rPr>
        <w:t xml:space="preserve"> Berdasarkan karakteristik faktor lingkungan </w:t>
      </w:r>
      <w:r w:rsidR="00410CD0" w:rsidRPr="00410CD0">
        <w:rPr>
          <w:rFonts w:eastAsia="Times New Roman"/>
          <w:color w:val="000000"/>
          <w:sz w:val="22"/>
          <w:szCs w:val="22"/>
          <w:lang w:val="id-ID"/>
        </w:rPr>
        <w:t>di dapatkan bahwa sebagian besar responden</w:t>
      </w:r>
      <w:r w:rsidR="00410CD0" w:rsidRPr="00410CD0">
        <w:rPr>
          <w:rFonts w:eastAsia="Times New Roman"/>
          <w:color w:val="000000"/>
          <w:sz w:val="22"/>
          <w:szCs w:val="22"/>
        </w:rPr>
        <w:t xml:space="preserve"> </w:t>
      </w:r>
      <w:r w:rsidR="00410CD0" w:rsidRPr="00410CD0">
        <w:rPr>
          <w:rFonts w:eastAsia="Times New Roman"/>
          <w:color w:val="000000"/>
          <w:sz w:val="22"/>
          <w:szCs w:val="22"/>
          <w:lang w:val="id-ID"/>
        </w:rPr>
        <w:t>di wilayah kerja puskesmas ranuyoso memiliki faktor lingkungan kategori baik sebanyak 62 responden (77,5%).</w:t>
      </w:r>
      <w:r w:rsidR="00410CD0">
        <w:rPr>
          <w:rFonts w:eastAsia="Times New Roman"/>
          <w:color w:val="000000"/>
          <w:sz w:val="22"/>
          <w:szCs w:val="22"/>
          <w:lang w:val="id-ID"/>
        </w:rPr>
        <w:t xml:space="preserve"> Berdasarkan karakteristik faktor empati </w:t>
      </w:r>
      <w:r w:rsidR="00410CD0" w:rsidRPr="00410CD0">
        <w:rPr>
          <w:rFonts w:eastAsia="Times New Roman"/>
          <w:color w:val="000000"/>
          <w:sz w:val="22"/>
          <w:szCs w:val="22"/>
          <w:lang w:val="id-ID"/>
        </w:rPr>
        <w:t>di dapatkan bahwa hampir seluruh responden</w:t>
      </w:r>
      <w:r w:rsidR="00410CD0" w:rsidRPr="00410CD0">
        <w:rPr>
          <w:rFonts w:eastAsia="Times New Roman"/>
          <w:color w:val="000000"/>
          <w:sz w:val="22"/>
          <w:szCs w:val="22"/>
        </w:rPr>
        <w:t xml:space="preserve"> </w:t>
      </w:r>
      <w:r w:rsidR="00410CD0" w:rsidRPr="00410CD0">
        <w:rPr>
          <w:rFonts w:eastAsia="Times New Roman"/>
          <w:color w:val="000000"/>
          <w:sz w:val="22"/>
          <w:szCs w:val="22"/>
          <w:lang w:val="id-ID"/>
        </w:rPr>
        <w:t>di wilayah kerja puskesmas ranuyoso memiliki empati kategori tinggi sebanyak 64 responden (80%).</w:t>
      </w:r>
    </w:p>
    <w:p w:rsidR="001A61F4" w:rsidRPr="00410CD0" w:rsidRDefault="001A61F4" w:rsidP="00410CD0">
      <w:pPr>
        <w:jc w:val="both"/>
        <w:rPr>
          <w:rFonts w:eastAsia="Times New Roman"/>
          <w:color w:val="000000"/>
          <w:sz w:val="22"/>
          <w:szCs w:val="22"/>
          <w:lang w:val="id-ID"/>
        </w:rPr>
      </w:pPr>
    </w:p>
    <w:p w:rsidR="001A61F4" w:rsidRPr="00D65741" w:rsidRDefault="001A61F4" w:rsidP="00FC6F48">
      <w:pPr>
        <w:pBdr>
          <w:top w:val="nil"/>
          <w:left w:val="nil"/>
          <w:bottom w:val="nil"/>
          <w:right w:val="nil"/>
          <w:between w:val="nil"/>
        </w:pBdr>
        <w:jc w:val="both"/>
        <w:rPr>
          <w:rFonts w:eastAsia="Times New Roman"/>
          <w:color w:val="000000"/>
          <w:sz w:val="22"/>
          <w:szCs w:val="22"/>
          <w:lang w:val="id-ID"/>
        </w:rPr>
      </w:pPr>
      <w:r w:rsidRPr="00D65741">
        <w:rPr>
          <w:rFonts w:eastAsia="Times New Roman"/>
          <w:color w:val="000000"/>
          <w:sz w:val="22"/>
          <w:szCs w:val="22"/>
          <w:lang w:val="id-ID"/>
        </w:rPr>
        <w:t xml:space="preserve">Tabel </w:t>
      </w:r>
      <w:r w:rsidR="00410CD0">
        <w:rPr>
          <w:rFonts w:eastAsia="Times New Roman"/>
          <w:color w:val="000000"/>
          <w:sz w:val="22"/>
          <w:szCs w:val="22"/>
          <w:lang w:val="id-ID"/>
        </w:rPr>
        <w:t>3</w:t>
      </w:r>
      <w:r w:rsidRPr="00D65741">
        <w:rPr>
          <w:rFonts w:eastAsia="Times New Roman"/>
          <w:color w:val="000000"/>
          <w:sz w:val="22"/>
          <w:szCs w:val="22"/>
        </w:rPr>
        <w:t xml:space="preserve">. </w:t>
      </w:r>
      <w:r w:rsidR="00410CD0" w:rsidRPr="00FC6F48">
        <w:rPr>
          <w:rFonts w:eastAsia="Times New Roman"/>
          <w:bCs/>
          <w:color w:val="000000"/>
          <w:sz w:val="22"/>
          <w:szCs w:val="22"/>
          <w:lang w:val="id-ID"/>
        </w:rPr>
        <w:t>Uji Analisis Uji Analisis Faktor Dominan Yang Mempengaruhi Empati Masyarakat Dalam Perilaku Memanusiakan ODGJ Pasung Di Wilayah Kerja Puskesmas Ranuyoso</w:t>
      </w:r>
    </w:p>
    <w:tbl>
      <w:tblPr>
        <w:tblStyle w:val="KisiTabel2"/>
        <w:tblW w:w="4750" w:type="dxa"/>
        <w:jc w:val="center"/>
        <w:tblLayout w:type="fixed"/>
        <w:tblLook w:val="0000" w:firstRow="0" w:lastRow="0" w:firstColumn="0" w:lastColumn="0" w:noHBand="0" w:noVBand="0"/>
      </w:tblPr>
      <w:tblGrid>
        <w:gridCol w:w="993"/>
        <w:gridCol w:w="709"/>
        <w:gridCol w:w="709"/>
        <w:gridCol w:w="992"/>
        <w:gridCol w:w="709"/>
        <w:gridCol w:w="638"/>
      </w:tblGrid>
      <w:tr w:rsidR="00410CD0" w:rsidRPr="000677C8" w:rsidTr="001255F9">
        <w:trPr>
          <w:jc w:val="center"/>
        </w:trPr>
        <w:tc>
          <w:tcPr>
            <w:tcW w:w="4750" w:type="dxa"/>
            <w:gridSpan w:val="6"/>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b/>
                <w:bCs/>
                <w:kern w:val="0"/>
                <w:sz w:val="16"/>
                <w:szCs w:val="16"/>
              </w:rPr>
              <w:t>Coefficients</w:t>
            </w:r>
            <w:r w:rsidRPr="000677C8">
              <w:rPr>
                <w:rFonts w:ascii="Times New Roman" w:hAnsi="Times New Roman"/>
                <w:b/>
                <w:bCs/>
                <w:kern w:val="0"/>
                <w:sz w:val="16"/>
                <w:szCs w:val="16"/>
                <w:vertAlign w:val="superscript"/>
              </w:rPr>
              <w:t>a</w:t>
            </w:r>
          </w:p>
        </w:tc>
      </w:tr>
      <w:tr w:rsidR="00410CD0" w:rsidRPr="000677C8" w:rsidTr="001255F9">
        <w:trPr>
          <w:jc w:val="center"/>
        </w:trPr>
        <w:tc>
          <w:tcPr>
            <w:tcW w:w="993" w:type="dxa"/>
            <w:vMerge w:val="restart"/>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Model</w:t>
            </w:r>
          </w:p>
        </w:tc>
        <w:tc>
          <w:tcPr>
            <w:tcW w:w="1418" w:type="dxa"/>
            <w:gridSpan w:val="2"/>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Unstandardized Coefficients</w:t>
            </w:r>
          </w:p>
        </w:tc>
        <w:tc>
          <w:tcPr>
            <w:tcW w:w="992"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Standardized Coefficients</w:t>
            </w:r>
          </w:p>
        </w:tc>
        <w:tc>
          <w:tcPr>
            <w:tcW w:w="709" w:type="dxa"/>
            <w:vMerge w:val="restart"/>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t</w:t>
            </w:r>
          </w:p>
        </w:tc>
        <w:tc>
          <w:tcPr>
            <w:tcW w:w="638" w:type="dxa"/>
            <w:vMerge w:val="restart"/>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Sig.</w:t>
            </w:r>
          </w:p>
        </w:tc>
      </w:tr>
      <w:tr w:rsidR="00410CD0" w:rsidRPr="000677C8" w:rsidTr="001255F9">
        <w:trPr>
          <w:jc w:val="center"/>
        </w:trPr>
        <w:tc>
          <w:tcPr>
            <w:tcW w:w="993" w:type="dxa"/>
            <w:vMerge/>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B</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Std. Error</w:t>
            </w:r>
          </w:p>
        </w:tc>
        <w:tc>
          <w:tcPr>
            <w:tcW w:w="992"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Beta</w:t>
            </w:r>
          </w:p>
        </w:tc>
        <w:tc>
          <w:tcPr>
            <w:tcW w:w="709" w:type="dxa"/>
            <w:vMerge/>
            <w:vAlign w:val="center"/>
          </w:tcPr>
          <w:p w:rsidR="00410CD0" w:rsidRPr="000677C8" w:rsidRDefault="00410CD0" w:rsidP="001255F9">
            <w:pPr>
              <w:widowControl w:val="0"/>
              <w:autoSpaceDE w:val="0"/>
              <w:autoSpaceDN w:val="0"/>
              <w:adjustRightInd w:val="0"/>
              <w:jc w:val="center"/>
              <w:rPr>
                <w:rFonts w:ascii="Times New Roman" w:hAnsi="Times New Roman"/>
                <w:kern w:val="0"/>
                <w:sz w:val="16"/>
                <w:szCs w:val="16"/>
              </w:rPr>
            </w:pPr>
          </w:p>
        </w:tc>
        <w:tc>
          <w:tcPr>
            <w:tcW w:w="638" w:type="dxa"/>
            <w:vMerge/>
            <w:vAlign w:val="center"/>
          </w:tcPr>
          <w:p w:rsidR="00410CD0" w:rsidRPr="000677C8" w:rsidRDefault="00410CD0" w:rsidP="001255F9">
            <w:pPr>
              <w:widowControl w:val="0"/>
              <w:autoSpaceDE w:val="0"/>
              <w:autoSpaceDN w:val="0"/>
              <w:adjustRightInd w:val="0"/>
              <w:jc w:val="center"/>
              <w:rPr>
                <w:rFonts w:ascii="Times New Roman" w:hAnsi="Times New Roman"/>
                <w:kern w:val="0"/>
                <w:sz w:val="16"/>
                <w:szCs w:val="16"/>
              </w:rPr>
            </w:pPr>
          </w:p>
        </w:tc>
      </w:tr>
      <w:tr w:rsidR="00410CD0" w:rsidRPr="000677C8" w:rsidTr="001255F9">
        <w:trPr>
          <w:jc w:val="center"/>
        </w:trPr>
        <w:tc>
          <w:tcPr>
            <w:tcW w:w="993"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(Constant)</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0,298</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0,168</w:t>
            </w:r>
          </w:p>
        </w:tc>
        <w:tc>
          <w:tcPr>
            <w:tcW w:w="992" w:type="dxa"/>
            <w:vAlign w:val="center"/>
          </w:tcPr>
          <w:p w:rsidR="00410CD0" w:rsidRPr="000677C8" w:rsidRDefault="00410CD0" w:rsidP="001255F9">
            <w:pPr>
              <w:widowControl w:val="0"/>
              <w:autoSpaceDE w:val="0"/>
              <w:autoSpaceDN w:val="0"/>
              <w:adjustRightInd w:val="0"/>
              <w:jc w:val="center"/>
              <w:rPr>
                <w:rFonts w:ascii="Times New Roman" w:hAnsi="Times New Roman"/>
                <w:kern w:val="0"/>
                <w:sz w:val="16"/>
                <w:szCs w:val="16"/>
              </w:rPr>
            </w:pP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1,773</w:t>
            </w:r>
          </w:p>
        </w:tc>
        <w:tc>
          <w:tcPr>
            <w:tcW w:w="638"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0,080</w:t>
            </w:r>
          </w:p>
        </w:tc>
      </w:tr>
      <w:tr w:rsidR="00410CD0" w:rsidRPr="000677C8" w:rsidTr="001255F9">
        <w:trPr>
          <w:jc w:val="center"/>
        </w:trPr>
        <w:tc>
          <w:tcPr>
            <w:tcW w:w="993"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Sosial budaya</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0,100</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0,118</w:t>
            </w:r>
          </w:p>
        </w:tc>
        <w:tc>
          <w:tcPr>
            <w:tcW w:w="992"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0,105</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0,849</w:t>
            </w:r>
          </w:p>
        </w:tc>
        <w:tc>
          <w:tcPr>
            <w:tcW w:w="638"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0,399</w:t>
            </w:r>
          </w:p>
        </w:tc>
      </w:tr>
      <w:tr w:rsidR="00410CD0" w:rsidRPr="000677C8" w:rsidTr="001255F9">
        <w:trPr>
          <w:jc w:val="center"/>
        </w:trPr>
        <w:tc>
          <w:tcPr>
            <w:tcW w:w="993"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Pengetahuan</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0,154</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0,154</w:t>
            </w:r>
          </w:p>
        </w:tc>
        <w:tc>
          <w:tcPr>
            <w:tcW w:w="992"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0,146</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1,003</w:t>
            </w:r>
          </w:p>
        </w:tc>
        <w:tc>
          <w:tcPr>
            <w:tcW w:w="638"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0,319</w:t>
            </w:r>
          </w:p>
        </w:tc>
      </w:tr>
      <w:tr w:rsidR="00410CD0" w:rsidRPr="000677C8" w:rsidTr="001255F9">
        <w:trPr>
          <w:jc w:val="center"/>
        </w:trPr>
        <w:tc>
          <w:tcPr>
            <w:tcW w:w="993"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Ekonomi</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-0,040</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0,044</w:t>
            </w:r>
          </w:p>
        </w:tc>
        <w:tc>
          <w:tcPr>
            <w:tcW w:w="992"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-0,060</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-0,906</w:t>
            </w:r>
          </w:p>
        </w:tc>
        <w:tc>
          <w:tcPr>
            <w:tcW w:w="638"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0,368</w:t>
            </w:r>
          </w:p>
        </w:tc>
      </w:tr>
      <w:tr w:rsidR="00410CD0" w:rsidRPr="000677C8" w:rsidTr="001255F9">
        <w:trPr>
          <w:jc w:val="center"/>
        </w:trPr>
        <w:tc>
          <w:tcPr>
            <w:tcW w:w="993" w:type="dxa"/>
            <w:vAlign w:val="center"/>
          </w:tcPr>
          <w:p w:rsidR="00410CD0" w:rsidRPr="000677C8" w:rsidRDefault="00410CD0" w:rsidP="001255F9">
            <w:pPr>
              <w:widowControl w:val="0"/>
              <w:autoSpaceDE w:val="0"/>
              <w:autoSpaceDN w:val="0"/>
              <w:adjustRightInd w:val="0"/>
              <w:ind w:left="-108" w:right="-108"/>
              <w:jc w:val="center"/>
              <w:rPr>
                <w:rFonts w:ascii="Times New Roman" w:hAnsi="Times New Roman"/>
                <w:kern w:val="0"/>
                <w:sz w:val="16"/>
                <w:szCs w:val="16"/>
              </w:rPr>
            </w:pPr>
            <w:r w:rsidRPr="000677C8">
              <w:rPr>
                <w:rFonts w:ascii="Times New Roman" w:hAnsi="Times New Roman"/>
                <w:kern w:val="0"/>
                <w:sz w:val="16"/>
                <w:szCs w:val="16"/>
              </w:rPr>
              <w:t>Lingkungan</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0,574</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0,107</w:t>
            </w:r>
          </w:p>
        </w:tc>
        <w:tc>
          <w:tcPr>
            <w:tcW w:w="992"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0,610</w:t>
            </w:r>
          </w:p>
        </w:tc>
        <w:tc>
          <w:tcPr>
            <w:tcW w:w="709"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5,380</w:t>
            </w:r>
          </w:p>
        </w:tc>
        <w:tc>
          <w:tcPr>
            <w:tcW w:w="638" w:type="dxa"/>
            <w:vAlign w:val="center"/>
          </w:tcPr>
          <w:p w:rsidR="00410CD0" w:rsidRPr="000677C8" w:rsidRDefault="00410CD0" w:rsidP="001255F9">
            <w:pPr>
              <w:widowControl w:val="0"/>
              <w:autoSpaceDE w:val="0"/>
              <w:autoSpaceDN w:val="0"/>
              <w:adjustRightInd w:val="0"/>
              <w:ind w:right="60"/>
              <w:jc w:val="center"/>
              <w:rPr>
                <w:rFonts w:ascii="Times New Roman" w:hAnsi="Times New Roman"/>
                <w:kern w:val="0"/>
                <w:sz w:val="16"/>
                <w:szCs w:val="16"/>
              </w:rPr>
            </w:pPr>
            <w:r w:rsidRPr="000677C8">
              <w:rPr>
                <w:rFonts w:ascii="Times New Roman" w:hAnsi="Times New Roman"/>
                <w:kern w:val="0"/>
                <w:sz w:val="16"/>
                <w:szCs w:val="16"/>
              </w:rPr>
              <w:t>0,000</w:t>
            </w:r>
          </w:p>
        </w:tc>
      </w:tr>
    </w:tbl>
    <w:p w:rsidR="001A61F4" w:rsidRDefault="001A61F4" w:rsidP="001A61F4">
      <w:pPr>
        <w:ind w:firstLine="709"/>
        <w:jc w:val="both"/>
        <w:rPr>
          <w:rFonts w:eastAsia="Times New Roman"/>
          <w:color w:val="000000"/>
          <w:sz w:val="20"/>
          <w:szCs w:val="20"/>
        </w:rPr>
      </w:pPr>
    </w:p>
    <w:p w:rsidR="00057310" w:rsidRPr="00057310" w:rsidRDefault="00057310" w:rsidP="009A15F9">
      <w:pPr>
        <w:ind w:firstLine="709"/>
        <w:jc w:val="both"/>
        <w:rPr>
          <w:rFonts w:eastAsia="Times New Roman"/>
          <w:color w:val="000000"/>
          <w:sz w:val="22"/>
          <w:szCs w:val="20"/>
          <w:lang w:val="id-ID"/>
        </w:rPr>
      </w:pPr>
      <w:r w:rsidRPr="00057310">
        <w:rPr>
          <w:rFonts w:eastAsia="Times New Roman"/>
          <w:color w:val="000000"/>
          <w:sz w:val="22"/>
          <w:szCs w:val="20"/>
          <w:lang w:val="id-ID"/>
        </w:rPr>
        <w:t>Berdasarkan</w:t>
      </w:r>
      <w:r w:rsidRPr="00057310">
        <w:rPr>
          <w:rFonts w:eastAsia="Times New Roman"/>
          <w:color w:val="000000"/>
          <w:sz w:val="22"/>
          <w:szCs w:val="20"/>
          <w:lang w:val="id"/>
        </w:rPr>
        <w:t xml:space="preserve"> </w:t>
      </w:r>
      <w:r w:rsidR="00410CD0" w:rsidRPr="00410CD0">
        <w:rPr>
          <w:rFonts w:eastAsia="Times New Roman"/>
          <w:color w:val="000000"/>
          <w:sz w:val="22"/>
          <w:szCs w:val="20"/>
          <w:lang w:val="id-ID"/>
        </w:rPr>
        <w:t>hasil uji multivariat (uji regresi linear berganda), dapat diketahui bahwa dari keempat faktor yang dianalisis—sosial budaya, pengetahuan, ekonomi, dan lingkungan—hanya faktor lingkungan yang secara statistik berpengaruh signifikan terhadap empati masyarakat dal</w:t>
      </w:r>
      <w:r w:rsidR="00FC6F48">
        <w:rPr>
          <w:rFonts w:eastAsia="Times New Roman"/>
          <w:color w:val="000000"/>
          <w:sz w:val="22"/>
          <w:szCs w:val="20"/>
          <w:lang w:val="id-ID"/>
        </w:rPr>
        <w:t>am perilaku memanusiakan Orang d</w:t>
      </w:r>
      <w:r w:rsidR="00410CD0" w:rsidRPr="00410CD0">
        <w:rPr>
          <w:rFonts w:eastAsia="Times New Roman"/>
          <w:color w:val="000000"/>
          <w:sz w:val="22"/>
          <w:szCs w:val="20"/>
          <w:lang w:val="id-ID"/>
        </w:rPr>
        <w:t xml:space="preserve">engan Gangguan Jiwa (ODGJ) pasung di wilayah kerja Puskesmas Ranuyoso. Hal ini ditunjukkan oleh nilai signifikansi (Sig.) faktor lingkungan sebesar 0,000 (p &lt; 0,05), dengan nilai koefisien beta </w:t>
      </w:r>
      <w:r w:rsidR="00410CD0" w:rsidRPr="00410CD0">
        <w:rPr>
          <w:rFonts w:eastAsia="Times New Roman"/>
          <w:color w:val="000000"/>
          <w:sz w:val="22"/>
          <w:szCs w:val="20"/>
          <w:lang w:val="id-ID"/>
        </w:rPr>
        <w:lastRenderedPageBreak/>
        <w:t xml:space="preserve">standar tertinggi (β = 0,610), yang berarti lingkungan memiliki pengaruh dominan. Sementara itu, faktor sosial budaya (p = 0,399), pengetahuan (p = 0,319), dan ekonomi (p = 0,368) tidak menunjukkan pengaruh yang signifikan terhadap empati masyarakat (p &gt; 0,05). Nilai </w:t>
      </w:r>
      <w:r w:rsidR="00410CD0" w:rsidRPr="00410CD0">
        <w:rPr>
          <w:rFonts w:eastAsia="Times New Roman"/>
          <w:i/>
          <w:iCs/>
          <w:color w:val="000000"/>
          <w:sz w:val="22"/>
          <w:szCs w:val="20"/>
          <w:lang w:val="id-ID"/>
        </w:rPr>
        <w:t>t</w:t>
      </w:r>
      <w:r w:rsidR="00410CD0" w:rsidRPr="00410CD0">
        <w:rPr>
          <w:rFonts w:eastAsia="Times New Roman"/>
          <w:color w:val="000000"/>
          <w:sz w:val="22"/>
          <w:szCs w:val="20"/>
          <w:lang w:val="id-ID"/>
        </w:rPr>
        <w:t xml:space="preserve"> yang lebih rendah pada ketiga variabel tersebut juga menunjukkan kontribusi yang lemah terhadap model.</w:t>
      </w:r>
    </w:p>
    <w:p w:rsidR="001A61F4" w:rsidRPr="009A7F41" w:rsidRDefault="001A61F4" w:rsidP="007D15C8">
      <w:pPr>
        <w:pBdr>
          <w:top w:val="nil"/>
          <w:left w:val="nil"/>
          <w:bottom w:val="nil"/>
          <w:right w:val="nil"/>
          <w:between w:val="nil"/>
        </w:pBdr>
        <w:ind w:firstLine="709"/>
        <w:jc w:val="both"/>
        <w:rPr>
          <w:rFonts w:eastAsia="Times New Roman"/>
          <w:color w:val="000000"/>
          <w:sz w:val="22"/>
          <w:szCs w:val="22"/>
        </w:rPr>
      </w:pPr>
    </w:p>
    <w:p w:rsidR="001A61F4" w:rsidRDefault="001A61F4" w:rsidP="001A61F4">
      <w:pPr>
        <w:jc w:val="both"/>
        <w:rPr>
          <w:b/>
          <w:sz w:val="22"/>
          <w:szCs w:val="22"/>
          <w:lang w:val="id-ID"/>
        </w:rPr>
      </w:pPr>
      <w:r>
        <w:rPr>
          <w:b/>
          <w:sz w:val="22"/>
          <w:szCs w:val="22"/>
        </w:rPr>
        <w:t>PEMBAHASAN</w:t>
      </w:r>
    </w:p>
    <w:p w:rsidR="00FC6F48" w:rsidRPr="00FC6F48" w:rsidRDefault="00FC6F48" w:rsidP="001A61F4">
      <w:pPr>
        <w:jc w:val="both"/>
        <w:rPr>
          <w:b/>
          <w:sz w:val="22"/>
          <w:szCs w:val="22"/>
          <w:lang w:val="id-ID"/>
        </w:rPr>
      </w:pPr>
    </w:p>
    <w:p w:rsidR="00410CD0" w:rsidRPr="00410CD0" w:rsidRDefault="00FC6F48" w:rsidP="00410CD0">
      <w:pPr>
        <w:pStyle w:val="ListParagraph"/>
        <w:numPr>
          <w:ilvl w:val="0"/>
          <w:numId w:val="1"/>
        </w:numPr>
        <w:ind w:left="426"/>
        <w:rPr>
          <w:b/>
          <w:bCs/>
          <w:sz w:val="22"/>
          <w:szCs w:val="22"/>
          <w:lang w:val="en-ID"/>
        </w:rPr>
      </w:pPr>
      <w:r>
        <w:rPr>
          <w:b/>
          <w:bCs/>
          <w:sz w:val="22"/>
          <w:szCs w:val="22"/>
          <w:lang w:val="en-ID"/>
        </w:rPr>
        <w:t>Identifikasi fa</w:t>
      </w:r>
      <w:r>
        <w:rPr>
          <w:b/>
          <w:bCs/>
          <w:sz w:val="22"/>
          <w:szCs w:val="22"/>
          <w:lang w:val="id-ID"/>
        </w:rPr>
        <w:t>k</w:t>
      </w:r>
      <w:r w:rsidR="00410CD0">
        <w:rPr>
          <w:b/>
          <w:bCs/>
          <w:sz w:val="22"/>
          <w:szCs w:val="22"/>
          <w:lang w:val="en-ID"/>
        </w:rPr>
        <w:t>tor</w:t>
      </w:r>
      <w:r w:rsidR="00410CD0">
        <w:rPr>
          <w:b/>
          <w:bCs/>
          <w:sz w:val="22"/>
          <w:szCs w:val="22"/>
          <w:lang w:val="id-ID"/>
        </w:rPr>
        <w:t xml:space="preserve">-faktor </w:t>
      </w:r>
      <w:r w:rsidR="00410CD0" w:rsidRPr="00410CD0">
        <w:rPr>
          <w:b/>
          <w:bCs/>
          <w:sz w:val="22"/>
          <w:szCs w:val="22"/>
          <w:lang w:val="en-ID"/>
        </w:rPr>
        <w:t>masyarakat terhadap ODGJ pa</w:t>
      </w:r>
      <w:r>
        <w:rPr>
          <w:b/>
          <w:bCs/>
          <w:sz w:val="22"/>
          <w:szCs w:val="22"/>
          <w:lang w:val="en-ID"/>
        </w:rPr>
        <w:t xml:space="preserve">sung diwilayah kerja puskesmas </w:t>
      </w:r>
      <w:r>
        <w:rPr>
          <w:b/>
          <w:bCs/>
          <w:sz w:val="22"/>
          <w:szCs w:val="22"/>
          <w:lang w:val="id-ID"/>
        </w:rPr>
        <w:t>R</w:t>
      </w:r>
      <w:r w:rsidR="00410CD0" w:rsidRPr="00410CD0">
        <w:rPr>
          <w:b/>
          <w:bCs/>
          <w:sz w:val="22"/>
          <w:szCs w:val="22"/>
          <w:lang w:val="en-ID"/>
        </w:rPr>
        <w:t>anuyoso</w:t>
      </w:r>
    </w:p>
    <w:p w:rsidR="00526FB2" w:rsidRPr="007D15C8" w:rsidRDefault="00526FB2" w:rsidP="00410CD0">
      <w:pPr>
        <w:pStyle w:val="ListParagraph"/>
        <w:ind w:left="0"/>
        <w:jc w:val="both"/>
        <w:rPr>
          <w:b/>
          <w:sz w:val="22"/>
          <w:szCs w:val="22"/>
        </w:rPr>
      </w:pPr>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Hasil penelitian menunjukkan bahwa faktor sosial budaya masyarakat di wilayah kerja Puskesmas Ranuyoso berada pada kategori baik.</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Masyarakat umumnya telah memiliki nilai kepedulian sosial, sikap saling menghargai, dan peneri</w:t>
      </w:r>
      <w:r w:rsidR="00FC6F48">
        <w:rPr>
          <w:rFonts w:eastAsia="Times New Roman"/>
          <w:color w:val="000000"/>
          <w:sz w:val="22"/>
          <w:szCs w:val="22"/>
        </w:rPr>
        <w:t xml:space="preserve">maan terhadap keberadaan Orang </w:t>
      </w:r>
      <w:r w:rsidR="00FC6F48">
        <w:rPr>
          <w:rFonts w:eastAsia="Times New Roman"/>
          <w:color w:val="000000"/>
          <w:sz w:val="22"/>
          <w:szCs w:val="22"/>
          <w:lang w:val="id-ID"/>
        </w:rPr>
        <w:t>d</w:t>
      </w:r>
      <w:r w:rsidRPr="00410CD0">
        <w:rPr>
          <w:rFonts w:eastAsia="Times New Roman"/>
          <w:color w:val="000000"/>
          <w:sz w:val="22"/>
          <w:szCs w:val="22"/>
        </w:rPr>
        <w:t>engan Gangguan Jiwa (ODGJ).</w:t>
      </w:r>
      <w:proofErr w:type="gramEnd"/>
      <w:r w:rsidRPr="00410CD0">
        <w:rPr>
          <w:rFonts w:eastAsia="Times New Roman"/>
          <w:color w:val="000000"/>
          <w:sz w:val="22"/>
          <w:szCs w:val="22"/>
        </w:rPr>
        <w:t xml:space="preserve"> Perubahan </w:t>
      </w:r>
      <w:proofErr w:type="gramStart"/>
      <w:r w:rsidRPr="00410CD0">
        <w:rPr>
          <w:rFonts w:eastAsia="Times New Roman"/>
          <w:color w:val="000000"/>
          <w:sz w:val="22"/>
          <w:szCs w:val="22"/>
        </w:rPr>
        <w:t>cara</w:t>
      </w:r>
      <w:proofErr w:type="gramEnd"/>
      <w:r w:rsidRPr="00410CD0">
        <w:rPr>
          <w:rFonts w:eastAsia="Times New Roman"/>
          <w:color w:val="000000"/>
          <w:sz w:val="22"/>
          <w:szCs w:val="22"/>
        </w:rPr>
        <w:t xml:space="preserve"> pandang mulai terlihat, di mana gangguan jiwa tidak lagi sepenuhnya dianggap sebagai aib atau kutukan, melainkan sebagai kondisi kesehatan yang dapat ditangani. </w:t>
      </w:r>
      <w:proofErr w:type="gramStart"/>
      <w:r w:rsidRPr="00410CD0">
        <w:rPr>
          <w:rFonts w:eastAsia="Times New Roman"/>
          <w:color w:val="000000"/>
          <w:sz w:val="22"/>
          <w:szCs w:val="22"/>
        </w:rPr>
        <w:t>Nilai budaya gotong royong dan solidaritas sosial menjadi modal penting dalam mendorong perilaku yang lebih manusiawi serta menekan praktik pemasungan.</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Tingkat pengetahuan masyarakat terhadap ODGJ juga tergolong baik.</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Mayoritas responden memahami penyebab, penanganan, dan dampak negatif pemasungan terhadap kondisi fisik dan psikologis ODGJ.</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Pengetahuan ini mendorong masyarakat untuk lebih memilih layanan kesehatan formal dibandingkan tindakan pemasungan.</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Selain itu, pemahaman yang memadai membantu masyarakat mengenali gejala gangguan jiwa lebih dini dan mengambil langkah yang tepat, sehingga berkontribusi pada pencegahan pemasungan dan percepatan pemulihan ODGJ.</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Dari sisi ekonomi, sebagian besar masyarakat memiliki penghasilan di bawah upah minimum regional.</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Meskipun kondisi ekonomi relatif terbatas, hasil penelitian menunjukkan bahwa faktor ekonomi bukan penentu utama dalam membentuk empati dan sikap terhadap ODGJ.</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 xml:space="preserve">Banyak keluarga tetap menolak praktik pemasungan dan berupaya </w:t>
      </w:r>
      <w:r w:rsidRPr="00410CD0">
        <w:rPr>
          <w:rFonts w:eastAsia="Times New Roman"/>
          <w:color w:val="000000"/>
          <w:sz w:val="22"/>
          <w:szCs w:val="22"/>
        </w:rPr>
        <w:lastRenderedPageBreak/>
        <w:t>mencari alternatif perawatan melalui puskesmas, jaminan kesehatan, maupun bantuan pemerintah.</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Hal ini menunjukkan bahwa nilai kemanusiaan, pengetahuan, dan kesadaran sosial mampu mengimbangi keterbatasan ekonomi.</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Faktor lingkungan sosial terbukti berperan penting dalam membentuk empati masyarakat terhadap ODGJ.</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Lingkungan yang kondusif, terbuka, dan tidak diskriminatif memberikan rasa aman bagi keluarga dalam merawat ODGJ tanpa takut stigma.</w:t>
      </w:r>
      <w:proofErr w:type="gramEnd"/>
      <w:r w:rsidRPr="00410CD0">
        <w:rPr>
          <w:rFonts w:eastAsia="Times New Roman"/>
          <w:color w:val="000000"/>
          <w:sz w:val="22"/>
          <w:szCs w:val="22"/>
        </w:rPr>
        <w:t xml:space="preserve"> Dukungan dari tetangga, tokoh masyarakat, dan perangkat desa memperkuat proses pemulihan serta mencegah terjadinya pemasungan. </w:t>
      </w:r>
      <w:proofErr w:type="gramStart"/>
      <w:r w:rsidRPr="00410CD0">
        <w:rPr>
          <w:rFonts w:eastAsia="Times New Roman"/>
          <w:color w:val="000000"/>
          <w:sz w:val="22"/>
          <w:szCs w:val="22"/>
        </w:rPr>
        <w:t>Budaya gotong royong yang masih kuat menjadi penyangga sosial yang efektif dalam menjaga martabat dan hak ODGJ.</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Secara keseluruhan, tingkat empati masyarakat terhadap ODGJ di wilayah kerja Puskesmas Ranuyoso tergolong tinggi.</w:t>
      </w:r>
      <w:proofErr w:type="gramEnd"/>
      <w:r w:rsidRPr="00410CD0">
        <w:rPr>
          <w:rFonts w:eastAsia="Times New Roman"/>
          <w:color w:val="000000"/>
          <w:sz w:val="22"/>
          <w:szCs w:val="22"/>
        </w:rPr>
        <w:t xml:space="preserve"> Empati ini tercermin dalam sikap penerimaan, dukungan sosial, dan keterlibatan masyarakat dalam proses pemulihan ODGJ. </w:t>
      </w:r>
      <w:proofErr w:type="gramStart"/>
      <w:r w:rsidRPr="00410CD0">
        <w:rPr>
          <w:rFonts w:eastAsia="Times New Roman"/>
          <w:color w:val="000000"/>
          <w:sz w:val="22"/>
          <w:szCs w:val="22"/>
        </w:rPr>
        <w:t>Tingginya empati merupakan hasil interaksi antara faktor sosial budaya, pengetahuan, ekonomi, dan lingkungan yang saling memperkuat.</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Oleh karena itu, penguatan empati masyarakat melalui edukasi, pendekatan berbasis komunitas, dan pembangunan lingkungan sosial yang suportif menjadi strategi kunci dalam upaya penghapusan praktik pasung secara berkelanjutan.</w:t>
      </w:r>
      <w:proofErr w:type="gramEnd"/>
    </w:p>
    <w:p w:rsidR="00526FB2" w:rsidRDefault="001C2C20" w:rsidP="001C2C20">
      <w:pPr>
        <w:tabs>
          <w:tab w:val="left" w:pos="426"/>
        </w:tabs>
        <w:ind w:firstLine="709"/>
        <w:jc w:val="both"/>
        <w:rPr>
          <w:rFonts w:eastAsia="Times New Roman"/>
          <w:color w:val="000000"/>
          <w:sz w:val="22"/>
          <w:szCs w:val="22"/>
        </w:rPr>
      </w:pPr>
      <w:r w:rsidRPr="001C2C20">
        <w:rPr>
          <w:rFonts w:eastAsia="Times New Roman"/>
          <w:color w:val="000000"/>
          <w:sz w:val="22"/>
          <w:szCs w:val="22"/>
        </w:rPr>
        <w:t>.</w:t>
      </w:r>
    </w:p>
    <w:p w:rsidR="00526FB2" w:rsidRPr="007D15C8" w:rsidRDefault="00410CD0" w:rsidP="00526FB2">
      <w:pPr>
        <w:pStyle w:val="ListParagraph"/>
        <w:numPr>
          <w:ilvl w:val="0"/>
          <w:numId w:val="1"/>
        </w:numPr>
        <w:ind w:left="426" w:hanging="426"/>
        <w:jc w:val="both"/>
        <w:rPr>
          <w:b/>
          <w:sz w:val="22"/>
          <w:szCs w:val="22"/>
        </w:rPr>
      </w:pPr>
      <w:r w:rsidRPr="00410CD0">
        <w:rPr>
          <w:b/>
          <w:bCs/>
          <w:sz w:val="22"/>
          <w:szCs w:val="22"/>
          <w:lang w:val="id-ID"/>
        </w:rPr>
        <w:t>Faktor-faktor yang mempengaruhi empati masyarakat dalam perilaku memanusiakan ODGJ pas</w:t>
      </w:r>
      <w:r w:rsidR="00FC6F48">
        <w:rPr>
          <w:b/>
          <w:bCs/>
          <w:sz w:val="22"/>
          <w:szCs w:val="22"/>
          <w:lang w:val="id-ID"/>
        </w:rPr>
        <w:t>ung di wilayah kerja puskesmas R</w:t>
      </w:r>
      <w:r w:rsidRPr="00410CD0">
        <w:rPr>
          <w:b/>
          <w:bCs/>
          <w:sz w:val="22"/>
          <w:szCs w:val="22"/>
          <w:lang w:val="id-ID"/>
        </w:rPr>
        <w:t>anuyoso</w:t>
      </w:r>
      <w:r w:rsidR="001C2C20" w:rsidRPr="007D15C8">
        <w:rPr>
          <w:b/>
          <w:sz w:val="22"/>
          <w:szCs w:val="22"/>
        </w:rPr>
        <w:t xml:space="preserve"> </w:t>
      </w:r>
    </w:p>
    <w:p w:rsidR="00410CD0" w:rsidRPr="00410CD0" w:rsidRDefault="00410CD0" w:rsidP="00410CD0">
      <w:pPr>
        <w:tabs>
          <w:tab w:val="left" w:pos="426"/>
        </w:tabs>
        <w:ind w:firstLine="709"/>
        <w:jc w:val="both"/>
        <w:rPr>
          <w:rFonts w:eastAsia="Times New Roman"/>
          <w:color w:val="000000"/>
          <w:sz w:val="22"/>
          <w:szCs w:val="22"/>
        </w:rPr>
      </w:pPr>
      <w:r w:rsidRPr="00410CD0">
        <w:rPr>
          <w:rFonts w:eastAsia="Times New Roman"/>
          <w:color w:val="000000"/>
          <w:sz w:val="22"/>
          <w:szCs w:val="22"/>
        </w:rPr>
        <w:t>Hasil analisis menggunakan Fisher’s Exact Test menunjukkan nilai signifikansi sebesar 0,000, lebih kecil dari batas kemaknaan α = 0</w:t>
      </w:r>
      <w:proofErr w:type="gramStart"/>
      <w:r w:rsidRPr="00410CD0">
        <w:rPr>
          <w:rFonts w:eastAsia="Times New Roman"/>
          <w:color w:val="000000"/>
          <w:sz w:val="22"/>
          <w:szCs w:val="22"/>
        </w:rPr>
        <w:t>,05</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Temuan ini menegaskan adanya hubungan yang bermakna antara faktor sosial budaya dan empati masyarakat terhadap Orang Dengan Gangguan Jiwa (ODGJ) pasung di wilayah kerja Puskesmas Ranuyoso.</w:t>
      </w:r>
      <w:proofErr w:type="gramEnd"/>
      <w:r w:rsidRPr="00410CD0">
        <w:rPr>
          <w:rFonts w:eastAsia="Times New Roman"/>
          <w:color w:val="000000"/>
          <w:sz w:val="22"/>
          <w:szCs w:val="22"/>
        </w:rPr>
        <w:t xml:space="preserve"> Responden dengan latar sosial budaya yang baik sebagian besar menunjukkan tingkat empati tinggi (73</w:t>
      </w:r>
      <w:proofErr w:type="gramStart"/>
      <w:r w:rsidRPr="00410CD0">
        <w:rPr>
          <w:rFonts w:eastAsia="Times New Roman"/>
          <w:color w:val="000000"/>
          <w:sz w:val="22"/>
          <w:szCs w:val="22"/>
        </w:rPr>
        <w:t>,8</w:t>
      </w:r>
      <w:proofErr w:type="gramEnd"/>
      <w:r w:rsidRPr="00410CD0">
        <w:rPr>
          <w:rFonts w:eastAsia="Times New Roman"/>
          <w:color w:val="000000"/>
          <w:sz w:val="22"/>
          <w:szCs w:val="22"/>
        </w:rPr>
        <w:t xml:space="preserve">%), sedangkan responden dengan sosial budaya cukup cenderung memiliki empati pada tingkat sedang (16,3%). Hal ini mengindikasikan bahwa kualitas nilai dan </w:t>
      </w:r>
      <w:proofErr w:type="gramStart"/>
      <w:r w:rsidRPr="00410CD0">
        <w:rPr>
          <w:rFonts w:eastAsia="Times New Roman"/>
          <w:color w:val="000000"/>
          <w:sz w:val="22"/>
          <w:szCs w:val="22"/>
        </w:rPr>
        <w:t>norma</w:t>
      </w:r>
      <w:proofErr w:type="gramEnd"/>
      <w:r w:rsidRPr="00410CD0">
        <w:rPr>
          <w:rFonts w:eastAsia="Times New Roman"/>
          <w:color w:val="000000"/>
          <w:sz w:val="22"/>
          <w:szCs w:val="22"/>
        </w:rPr>
        <w:t xml:space="preserve"> sosial budaya yang dianut masyarakat berbanding lurus dengan tingkat empati terhadap ODGJ, khususnya mereka yang mengalami pemasungan. </w:t>
      </w:r>
      <w:proofErr w:type="gramStart"/>
      <w:r w:rsidRPr="00410CD0">
        <w:rPr>
          <w:rFonts w:eastAsia="Times New Roman"/>
          <w:color w:val="000000"/>
          <w:sz w:val="22"/>
          <w:szCs w:val="22"/>
        </w:rPr>
        <w:t xml:space="preserve">Dengan demikian, penguatan nilai sosial budaya yang positif berpotensi menjadi </w:t>
      </w:r>
      <w:r w:rsidRPr="00410CD0">
        <w:rPr>
          <w:rFonts w:eastAsia="Times New Roman"/>
          <w:color w:val="000000"/>
          <w:sz w:val="22"/>
          <w:szCs w:val="22"/>
        </w:rPr>
        <w:lastRenderedPageBreak/>
        <w:t>strategi efektif dalam membentuk sikap empatik masyarakat.</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Nilai sosial budaya yang mendukung, seperti semangat gotong royong, keterbukaan terhadap informasi kesehatan jiwa, serta peran aktif tokoh masyarakat, memberikan kontribusi besar terhadap terbentuknya empati yang tinggi.</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Masyarakat yang tidak lagi memandang gangguan jiwa sebagai aib menunjukkan kecenderungan untuk menolak praktik pasung dan memilih memberikan dukungan nyata, baik secara moral, sosial, maupun dengan membantu akses layanan kesehatan jiwa.</w:t>
      </w:r>
      <w:proofErr w:type="gramEnd"/>
      <w:r w:rsidRPr="00410CD0">
        <w:rPr>
          <w:rFonts w:eastAsia="Times New Roman"/>
          <w:color w:val="000000"/>
          <w:sz w:val="22"/>
          <w:szCs w:val="22"/>
        </w:rPr>
        <w:t xml:space="preserve"> Sinergi antara budaya inklusif dan empati kolektif ini mendorong terciptanya perlakuan yang lebih manusiawi sekaligus mempercepat proses pemulihan ODGJ (Saraceno et al., 2018).</w:t>
      </w:r>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Peneliti berpandangan bahwa keterkaitan antara budaya sosial yang terbuka dan tingginya empati masyarakat merupakan fondasi penting dalam upaya penghapusan praktik pasung.</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Ketika nilai-nilai kemanusiaan telah terinternalisasi dengan baik, intervensi terhadap ODGJ dapat berlangsung secara alamiah tanpa tekanan eksternal.</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Oleh karena itu, pendekatan promotif dan preventif kesehatan jiwa sebaiknya diarahkan tidak hanya pada individu atau keluarga, tetapi juga pada penguatan nilai sosial budaya serta pengembangan empati berbasis komunitas.</w:t>
      </w:r>
      <w:proofErr w:type="gramEnd"/>
    </w:p>
    <w:p w:rsidR="00410CD0" w:rsidRPr="00410CD0" w:rsidRDefault="00410CD0" w:rsidP="00410CD0">
      <w:pPr>
        <w:tabs>
          <w:tab w:val="left" w:pos="426"/>
        </w:tabs>
        <w:ind w:firstLine="709"/>
        <w:jc w:val="both"/>
        <w:rPr>
          <w:rFonts w:eastAsia="Times New Roman"/>
          <w:color w:val="000000"/>
          <w:sz w:val="22"/>
          <w:szCs w:val="22"/>
        </w:rPr>
      </w:pPr>
      <w:r w:rsidRPr="00410CD0">
        <w:rPr>
          <w:rFonts w:eastAsia="Times New Roman"/>
          <w:color w:val="000000"/>
          <w:sz w:val="22"/>
          <w:szCs w:val="22"/>
        </w:rPr>
        <w:t>Berdasarkan Tabel 5.10, hasil uji Fisher’s Exact Test menunjukkan nilai signifikansi 0,000, yang berarti terdapat hubungan signifikan antara tingkat pengetahuan dan empati masyarakat terhadap ODGJ pasung. Mayoritas responden dengan pengetahuan baik menunjukkan empati tinggi (77</w:t>
      </w:r>
      <w:proofErr w:type="gramStart"/>
      <w:r w:rsidRPr="00410CD0">
        <w:rPr>
          <w:rFonts w:eastAsia="Times New Roman"/>
          <w:color w:val="000000"/>
          <w:sz w:val="22"/>
          <w:szCs w:val="22"/>
        </w:rPr>
        <w:t>,5</w:t>
      </w:r>
      <w:proofErr w:type="gramEnd"/>
      <w:r w:rsidRPr="00410CD0">
        <w:rPr>
          <w:rFonts w:eastAsia="Times New Roman"/>
          <w:color w:val="000000"/>
          <w:sz w:val="22"/>
          <w:szCs w:val="22"/>
        </w:rPr>
        <w:t xml:space="preserve">%), sementara responden dengan pengetahuan cukup sebagian besar berada pada kategori empati sedang (15,0%). </w:t>
      </w:r>
      <w:proofErr w:type="gramStart"/>
      <w:r w:rsidRPr="00410CD0">
        <w:rPr>
          <w:rFonts w:eastAsia="Times New Roman"/>
          <w:color w:val="000000"/>
          <w:sz w:val="22"/>
          <w:szCs w:val="22"/>
        </w:rPr>
        <w:t>Temuan ini memperlihatkan bahwa semakin baik pemahaman seseorang mengenai gangguan jiwa, semakin tinggi pula empati yang ditunjukkan.</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Oleh sebab itu, edukasi kesehatan jiwa menjadi elemen penting dalam membangun empati sekaligus mendukung penghapusan pemasungan.</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Pemahaman yang memadai mengenai gangguan jiwa membentuk landasan kuat bagi berkembangnya empati masyarakat.</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 xml:space="preserve">Individu yang memahami gangguan jiwa sebagai kondisi medis cenderung bersikap lebih terbuka, tidak </w:t>
      </w:r>
      <w:r w:rsidRPr="00410CD0">
        <w:rPr>
          <w:rFonts w:eastAsia="Times New Roman"/>
          <w:color w:val="000000"/>
          <w:sz w:val="22"/>
          <w:szCs w:val="22"/>
        </w:rPr>
        <w:lastRenderedPageBreak/>
        <w:t>menghakimi, serta mengurangi stigma.</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Kombinasi antara pengetahuan dan empati menciptakan lingkungan sosial yang kondusif bagi pemulihan ODGJ secara manusiawi dan berkelanjutan (Kusumadewi et al., 2019).</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Peneliti menilai bahwa pengetahuan memberikan kesadaran rasional, sementara empati mendorong tindakan nyata, sehingga program edukasi kesehatan jiwa perlu menanamkan keduanya secara seimbang.</w:t>
      </w:r>
      <w:proofErr w:type="gramEnd"/>
    </w:p>
    <w:p w:rsidR="00410CD0" w:rsidRPr="00410CD0" w:rsidRDefault="00410CD0" w:rsidP="00410CD0">
      <w:pPr>
        <w:tabs>
          <w:tab w:val="left" w:pos="426"/>
        </w:tabs>
        <w:ind w:firstLine="709"/>
        <w:jc w:val="both"/>
        <w:rPr>
          <w:rFonts w:eastAsia="Times New Roman"/>
          <w:color w:val="000000"/>
          <w:sz w:val="22"/>
          <w:szCs w:val="22"/>
        </w:rPr>
      </w:pPr>
      <w:r w:rsidRPr="00410CD0">
        <w:rPr>
          <w:rFonts w:eastAsia="Times New Roman"/>
          <w:color w:val="000000"/>
          <w:sz w:val="22"/>
          <w:szCs w:val="22"/>
        </w:rPr>
        <w:t>Berdasarkan Tabel 5.11, hasil uji Fisher’s Exact Test menunjukkan nilai signifikansi 0,047, yang lebih kecil dari α = 0</w:t>
      </w:r>
      <w:proofErr w:type="gramStart"/>
      <w:r w:rsidRPr="00410CD0">
        <w:rPr>
          <w:rFonts w:eastAsia="Times New Roman"/>
          <w:color w:val="000000"/>
          <w:sz w:val="22"/>
          <w:szCs w:val="22"/>
        </w:rPr>
        <w:t>,05</w:t>
      </w:r>
      <w:proofErr w:type="gramEnd"/>
      <w:r w:rsidRPr="00410CD0">
        <w:rPr>
          <w:rFonts w:eastAsia="Times New Roman"/>
          <w:color w:val="000000"/>
          <w:sz w:val="22"/>
          <w:szCs w:val="22"/>
        </w:rPr>
        <w:t>, menandakan adanya hubungan signifikan antara faktor ekonomi dan empati masyarakat terhadap ODGJ pasung. Responden dengan pendapatan di bawah UMR sebagian besar menunjukkan empati tinggi (75</w:t>
      </w:r>
      <w:proofErr w:type="gramStart"/>
      <w:r w:rsidRPr="00410CD0">
        <w:rPr>
          <w:rFonts w:eastAsia="Times New Roman"/>
          <w:color w:val="000000"/>
          <w:sz w:val="22"/>
          <w:szCs w:val="22"/>
        </w:rPr>
        <w:t>,0</w:t>
      </w:r>
      <w:proofErr w:type="gramEnd"/>
      <w:r w:rsidRPr="00410CD0">
        <w:rPr>
          <w:rFonts w:eastAsia="Times New Roman"/>
          <w:color w:val="000000"/>
          <w:sz w:val="22"/>
          <w:szCs w:val="22"/>
        </w:rPr>
        <w:t xml:space="preserve">%), sedangkan responden dengan pendapatan di atas UMR terbagi antara empati tinggi dan sedang. </w:t>
      </w:r>
      <w:proofErr w:type="gramStart"/>
      <w:r w:rsidRPr="00410CD0">
        <w:rPr>
          <w:rFonts w:eastAsia="Times New Roman"/>
          <w:color w:val="000000"/>
          <w:sz w:val="22"/>
          <w:szCs w:val="22"/>
        </w:rPr>
        <w:t>Temuan ini menunjukkan bahwa kondisi ekonomi bukan satu-satunya penentu empati, meskipun tetap memiliki pengaruh.</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Tingginya empati pada kelompok berpenghasilan rendah diduga dipengaruhi oleh solidaritas sosial dan rasa kebersamaan.</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Masyarakat dengan keterbatasan ekonomi namun memiliki empati tinggi membuktikan bahwa kondisi finansial tidak selalu menjadi penghalang dalam memperlakukan ODGJ secara bermartabat.</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Kesadaran dan kepedulian mendorong mereka untuk menolak pemasungan dan memilih perawatan yang lebih manusiawi meskipun dengan sumber daya terbatas.</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Hal ini menunjukkan bahwa empati mampu menyeimbangkan keterbatasan ekonomi dan mendorong masyarakat menjaga hak serta martabat ODGJ (Suryani et al., 2018).</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Peneliti menilai bahwa empati berperan penting dalam meminimalkan dampak keterbatasan ekonomi terhadap praktik pasung.</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Ketika nilai kemanusiaan tertanam kuat, keputusan untuk tidak melakukan pasung lebih didasarkan pada kepedulian sosial daripada kemampuan finansial.</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Oleh karena itu, penguatan empati masyarakat perlu berjalan seiring dengan upaya penyediaan layanan kesehatan jiwa yang terjangkau.</w:t>
      </w:r>
      <w:proofErr w:type="gramEnd"/>
    </w:p>
    <w:p w:rsidR="00410CD0" w:rsidRPr="00410CD0" w:rsidRDefault="00410CD0" w:rsidP="00410CD0">
      <w:pPr>
        <w:tabs>
          <w:tab w:val="left" w:pos="426"/>
        </w:tabs>
        <w:ind w:firstLine="709"/>
        <w:jc w:val="both"/>
        <w:rPr>
          <w:rFonts w:eastAsia="Times New Roman"/>
          <w:color w:val="000000"/>
          <w:sz w:val="22"/>
          <w:szCs w:val="22"/>
          <w:lang w:val="id-ID"/>
        </w:rPr>
      </w:pPr>
      <w:r w:rsidRPr="00410CD0">
        <w:rPr>
          <w:rFonts w:eastAsia="Times New Roman"/>
          <w:color w:val="000000"/>
          <w:sz w:val="22"/>
          <w:szCs w:val="22"/>
        </w:rPr>
        <w:t xml:space="preserve">Berdasarkan Tabel 5.12, hasil uji Fisher’s Exact Test menunjukkan nilai signifikansi 0,000, yang menandakan adanya hubungan bermakna antara faktor lingkungan dan empati masyarakat terhadap ODGJ pasung. Responden yang tinggal di lingkungan dengan </w:t>
      </w:r>
      <w:r w:rsidRPr="00410CD0">
        <w:rPr>
          <w:rFonts w:eastAsia="Times New Roman"/>
          <w:color w:val="000000"/>
          <w:sz w:val="22"/>
          <w:szCs w:val="22"/>
        </w:rPr>
        <w:lastRenderedPageBreak/>
        <w:t>kondisi baik mayoritas menunjukkan empati tinggi (75</w:t>
      </w:r>
      <w:proofErr w:type="gramStart"/>
      <w:r w:rsidRPr="00410CD0">
        <w:rPr>
          <w:rFonts w:eastAsia="Times New Roman"/>
          <w:color w:val="000000"/>
          <w:sz w:val="22"/>
          <w:szCs w:val="22"/>
        </w:rPr>
        <w:t>,0</w:t>
      </w:r>
      <w:proofErr w:type="gramEnd"/>
      <w:r w:rsidRPr="00410CD0">
        <w:rPr>
          <w:rFonts w:eastAsia="Times New Roman"/>
          <w:color w:val="000000"/>
          <w:sz w:val="22"/>
          <w:szCs w:val="22"/>
        </w:rPr>
        <w:t xml:space="preserve">%), sedangkan responden di lingkungan cukup cenderung memiliki empati sedang (18,8%). </w:t>
      </w:r>
      <w:proofErr w:type="gramStart"/>
      <w:r w:rsidRPr="00410CD0">
        <w:rPr>
          <w:rFonts w:eastAsia="Times New Roman"/>
          <w:color w:val="000000"/>
          <w:sz w:val="22"/>
          <w:szCs w:val="22"/>
        </w:rPr>
        <w:t>Hal ini mengindikasikan bahwa lingkungan sosial yang suportif dan terbuka terhadap isu kesehatan jiwa berperan besar dal</w:t>
      </w:r>
      <w:r>
        <w:rPr>
          <w:rFonts w:eastAsia="Times New Roman"/>
          <w:color w:val="000000"/>
          <w:sz w:val="22"/>
          <w:szCs w:val="22"/>
        </w:rPr>
        <w:t>am membentuk empati masyarakat.</w:t>
      </w:r>
      <w:proofErr w:type="gramEnd"/>
    </w:p>
    <w:p w:rsidR="00410CD0" w:rsidRPr="00410CD0" w:rsidRDefault="00410CD0" w:rsidP="00410CD0">
      <w:pPr>
        <w:tabs>
          <w:tab w:val="left" w:pos="426"/>
        </w:tabs>
        <w:ind w:firstLine="709"/>
        <w:jc w:val="both"/>
        <w:rPr>
          <w:rFonts w:eastAsia="Times New Roman"/>
          <w:color w:val="000000"/>
          <w:sz w:val="22"/>
          <w:szCs w:val="22"/>
        </w:rPr>
      </w:pPr>
      <w:proofErr w:type="gramStart"/>
      <w:r w:rsidRPr="00410CD0">
        <w:rPr>
          <w:rFonts w:eastAsia="Times New Roman"/>
          <w:color w:val="000000"/>
          <w:sz w:val="22"/>
          <w:szCs w:val="22"/>
        </w:rPr>
        <w:t>Lingkungan yang tidak menstigma ODGJ, menjunjung nilai kepedulian, serta mengedepankan gotong royong mendorong tumbuhnya empati secara alami.</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Dalam lingkungan seperti ini, masyarakat tidak hanya memahami kondisi ODGJ, tetapi juga terlibat aktif dalam mendukung perawatan dan pemulihan tanpa menggunakan cara-cara yang merugikan seperti pemasungan.</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Lingkungan positif menciptakan rasa tanggung jawab kolektif terhadap kesejahteraan ODGJ (Batson, 2019).</w:t>
      </w:r>
      <w:proofErr w:type="gramEnd"/>
    </w:p>
    <w:p w:rsidR="00F434E4" w:rsidRPr="00F434E4" w:rsidRDefault="00410CD0" w:rsidP="00410CD0">
      <w:pPr>
        <w:tabs>
          <w:tab w:val="left" w:pos="426"/>
        </w:tabs>
        <w:ind w:firstLine="709"/>
        <w:jc w:val="both"/>
        <w:rPr>
          <w:rFonts w:eastAsia="Times New Roman"/>
          <w:color w:val="000000"/>
          <w:sz w:val="22"/>
          <w:szCs w:val="22"/>
          <w:lang w:val="id-ID"/>
        </w:rPr>
      </w:pPr>
      <w:proofErr w:type="gramStart"/>
      <w:r w:rsidRPr="00410CD0">
        <w:rPr>
          <w:rFonts w:eastAsia="Times New Roman"/>
          <w:color w:val="000000"/>
          <w:sz w:val="22"/>
          <w:szCs w:val="22"/>
        </w:rPr>
        <w:t>Peneliti menyimpulkan bahwa lingkungan sosial yang mendukung merupakan kunci utama dalam membentuk empati dan mencegah praktik pasung.</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Upaya peningkatan kesadaran masyarakat perlu diarahkan tidak hanya pada individu, tetapi juga pada pembentukan lingkungan yang inklusif dan peduli.</w:t>
      </w:r>
      <w:proofErr w:type="gramEnd"/>
      <w:r w:rsidRPr="00410CD0">
        <w:rPr>
          <w:rFonts w:eastAsia="Times New Roman"/>
          <w:color w:val="000000"/>
          <w:sz w:val="22"/>
          <w:szCs w:val="22"/>
        </w:rPr>
        <w:t xml:space="preserve"> </w:t>
      </w:r>
      <w:proofErr w:type="gramStart"/>
      <w:r w:rsidRPr="00410CD0">
        <w:rPr>
          <w:rFonts w:eastAsia="Times New Roman"/>
          <w:color w:val="000000"/>
          <w:sz w:val="22"/>
          <w:szCs w:val="22"/>
        </w:rPr>
        <w:t>Dengan membangun komunitas yang empatik, ODGJ dapat diterima secara bermartabat dan praktik pemasungan dapat dicegah secara berkelanjutan.</w:t>
      </w:r>
      <w:proofErr w:type="gramEnd"/>
    </w:p>
    <w:p w:rsidR="000D26CD" w:rsidRDefault="000D26CD" w:rsidP="00526FB2">
      <w:pPr>
        <w:tabs>
          <w:tab w:val="left" w:pos="426"/>
        </w:tabs>
        <w:ind w:firstLine="709"/>
        <w:jc w:val="both"/>
        <w:rPr>
          <w:rFonts w:eastAsia="Times New Roman"/>
          <w:color w:val="000000"/>
          <w:sz w:val="22"/>
          <w:szCs w:val="22"/>
        </w:rPr>
      </w:pPr>
    </w:p>
    <w:p w:rsidR="00526FB2" w:rsidRPr="00410CD0" w:rsidRDefault="00410CD0" w:rsidP="002235BC">
      <w:pPr>
        <w:pStyle w:val="ListParagraph"/>
        <w:numPr>
          <w:ilvl w:val="0"/>
          <w:numId w:val="1"/>
        </w:numPr>
        <w:ind w:left="426"/>
        <w:jc w:val="both"/>
        <w:rPr>
          <w:b/>
          <w:bCs/>
          <w:sz w:val="22"/>
          <w:szCs w:val="22"/>
          <w:lang w:val="id"/>
        </w:rPr>
      </w:pPr>
      <w:r w:rsidRPr="00410CD0">
        <w:rPr>
          <w:b/>
          <w:bCs/>
          <w:sz w:val="22"/>
          <w:szCs w:val="22"/>
          <w:lang w:val="id"/>
        </w:rPr>
        <w:t>Faktor dominan yang mempengaruhi empati masyarakat dalam perilaku memanusiakan ODGJ pas</w:t>
      </w:r>
      <w:r w:rsidR="00FC6F48">
        <w:rPr>
          <w:b/>
          <w:bCs/>
          <w:sz w:val="22"/>
          <w:szCs w:val="22"/>
          <w:lang w:val="id"/>
        </w:rPr>
        <w:t xml:space="preserve">ung di wilayah kerja puskesmas </w:t>
      </w:r>
      <w:r w:rsidR="00FC6F48">
        <w:rPr>
          <w:b/>
          <w:bCs/>
          <w:sz w:val="22"/>
          <w:szCs w:val="22"/>
          <w:lang w:val="id-ID"/>
        </w:rPr>
        <w:t>R</w:t>
      </w:r>
      <w:r w:rsidRPr="00410CD0">
        <w:rPr>
          <w:b/>
          <w:bCs/>
          <w:sz w:val="22"/>
          <w:szCs w:val="22"/>
          <w:lang w:val="id"/>
        </w:rPr>
        <w:t>anuyoso</w:t>
      </w:r>
    </w:p>
    <w:p w:rsidR="002235BC" w:rsidRPr="002235BC" w:rsidRDefault="002235BC" w:rsidP="002235BC">
      <w:pPr>
        <w:tabs>
          <w:tab w:val="left" w:pos="426"/>
        </w:tabs>
        <w:ind w:firstLine="709"/>
        <w:jc w:val="both"/>
        <w:rPr>
          <w:rFonts w:eastAsia="Times New Roman"/>
          <w:color w:val="000000"/>
          <w:sz w:val="22"/>
          <w:szCs w:val="22"/>
        </w:rPr>
      </w:pPr>
      <w:r w:rsidRPr="002235BC">
        <w:rPr>
          <w:rFonts w:eastAsia="Times New Roman"/>
          <w:color w:val="000000"/>
          <w:sz w:val="22"/>
          <w:szCs w:val="22"/>
        </w:rPr>
        <w:t>Berdasarkan hasil uji multivariat menggunakan regresi linear berganda (Tabel 5.13), diketahui bahwa dari empat faktor yang dianalisis, yaitu sosial budaya, pengetahuan, ekonomi, dan lingkungan, hanya faktor lingkungan yang terbukti berpengaruh signifikan terhadap empati masyarakat dalam perilaku memanusiakan Oran</w:t>
      </w:r>
      <w:r w:rsidR="00FC6F48">
        <w:rPr>
          <w:rFonts w:eastAsia="Times New Roman"/>
          <w:color w:val="000000"/>
          <w:sz w:val="22"/>
          <w:szCs w:val="22"/>
        </w:rPr>
        <w:t xml:space="preserve">g </w:t>
      </w:r>
      <w:r w:rsidR="00FC6F48">
        <w:rPr>
          <w:rFonts w:eastAsia="Times New Roman"/>
          <w:color w:val="000000"/>
          <w:sz w:val="22"/>
          <w:szCs w:val="22"/>
          <w:lang w:val="id-ID"/>
        </w:rPr>
        <w:t>d</w:t>
      </w:r>
      <w:r w:rsidRPr="002235BC">
        <w:rPr>
          <w:rFonts w:eastAsia="Times New Roman"/>
          <w:color w:val="000000"/>
          <w:sz w:val="22"/>
          <w:szCs w:val="22"/>
        </w:rPr>
        <w:t>engan Gangguan Jiwa (ODGJ) pasung di wilayah kerja Puskesmas Ranuyoso. Faktor lingkungan menunjukkan nilai signifikansi sebesar 0,000 (p &lt; 0</w:t>
      </w:r>
      <w:proofErr w:type="gramStart"/>
      <w:r w:rsidRPr="002235BC">
        <w:rPr>
          <w:rFonts w:eastAsia="Times New Roman"/>
          <w:color w:val="000000"/>
          <w:sz w:val="22"/>
          <w:szCs w:val="22"/>
        </w:rPr>
        <w:t>,05</w:t>
      </w:r>
      <w:proofErr w:type="gramEnd"/>
      <w:r w:rsidRPr="002235BC">
        <w:rPr>
          <w:rFonts w:eastAsia="Times New Roman"/>
          <w:color w:val="000000"/>
          <w:sz w:val="22"/>
          <w:szCs w:val="22"/>
        </w:rPr>
        <w:t xml:space="preserve">) dengan koefisien beta standar tertinggi (β = 0,610), menandakan bahwa lingkungan merupakan variabel yang paling dominan dalam model. Sebaliknya, faktor sosial budaya, pengetahuan, dan ekonomi tidak menunjukkan pengaruh yang bermakna </w:t>
      </w:r>
      <w:r w:rsidRPr="002235BC">
        <w:rPr>
          <w:rFonts w:eastAsia="Times New Roman"/>
          <w:color w:val="000000"/>
          <w:sz w:val="22"/>
          <w:szCs w:val="22"/>
        </w:rPr>
        <w:lastRenderedPageBreak/>
        <w:t>secara statistik karena memiliki nilai p lebih besar dari 0</w:t>
      </w:r>
      <w:proofErr w:type="gramStart"/>
      <w:r w:rsidRPr="002235BC">
        <w:rPr>
          <w:rFonts w:eastAsia="Times New Roman"/>
          <w:color w:val="000000"/>
          <w:sz w:val="22"/>
          <w:szCs w:val="22"/>
        </w:rPr>
        <w:t>,05</w:t>
      </w:r>
      <w:proofErr w:type="gramEnd"/>
      <w:r w:rsidRPr="002235BC">
        <w:rPr>
          <w:rFonts w:eastAsia="Times New Roman"/>
          <w:color w:val="000000"/>
          <w:sz w:val="22"/>
          <w:szCs w:val="22"/>
        </w:rPr>
        <w:t xml:space="preserve"> serta kontribusi yang relatif rendah terhadap empati masyarakat.</w:t>
      </w:r>
    </w:p>
    <w:p w:rsidR="002235BC" w:rsidRPr="002235BC" w:rsidRDefault="002235BC" w:rsidP="002235BC">
      <w:pPr>
        <w:tabs>
          <w:tab w:val="left" w:pos="426"/>
        </w:tabs>
        <w:ind w:firstLine="709"/>
        <w:jc w:val="both"/>
        <w:rPr>
          <w:rFonts w:eastAsia="Times New Roman"/>
          <w:color w:val="000000"/>
          <w:sz w:val="22"/>
          <w:szCs w:val="22"/>
        </w:rPr>
      </w:pPr>
      <w:proofErr w:type="gramStart"/>
      <w:r w:rsidRPr="002235BC">
        <w:rPr>
          <w:rFonts w:eastAsia="Times New Roman"/>
          <w:color w:val="000000"/>
          <w:sz w:val="22"/>
          <w:szCs w:val="22"/>
        </w:rPr>
        <w:t>Temuan ini menegaskan bahwa lingkungan sosial memiliki peran utama dalam membentuk sikap dan perilaku empatik masyarakat terhadap ODGJ.</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Lingkungan yang terbuka, suportif, dan bebas stigma mendorong masyarakat untuk lebih peduli serta memperlakukan ODGJ secara manusiawi.</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Sebaliknya, lingkungan yang tertutup dan sarat prasangka berpotensi memperkuat diskriminasi dan mempertahankan praktik pemasungan.</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Dengan demikian, karakter lingkungan sosial menjadi faktor penentu dalam respons masyarakat terhadap keberadaan ODGJ (Saraceno et al., 2018).</w:t>
      </w:r>
      <w:proofErr w:type="gramEnd"/>
    </w:p>
    <w:p w:rsidR="002235BC" w:rsidRPr="002235BC" w:rsidRDefault="002235BC" w:rsidP="002235BC">
      <w:pPr>
        <w:tabs>
          <w:tab w:val="left" w:pos="426"/>
        </w:tabs>
        <w:ind w:firstLine="709"/>
        <w:jc w:val="both"/>
        <w:rPr>
          <w:rFonts w:eastAsia="Times New Roman"/>
          <w:color w:val="000000"/>
          <w:sz w:val="22"/>
          <w:szCs w:val="22"/>
        </w:rPr>
      </w:pPr>
      <w:proofErr w:type="gramStart"/>
      <w:r w:rsidRPr="002235BC">
        <w:rPr>
          <w:rFonts w:eastAsia="Times New Roman"/>
          <w:color w:val="000000"/>
          <w:sz w:val="22"/>
          <w:szCs w:val="22"/>
        </w:rPr>
        <w:t>Lingkungan yang kondusif umumnya ditandai dengan kuatnya nilai kebersamaan, gotong royong, serta keterlibatan aktif masyarakat dalam kehidupan sosial.</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Dalam kondisi tersebut, dukungan terhadap ODGJ tidak hanya datang dari keluarga, tetapi juga dari tetangga, tokoh agama, dan tokoh masyarakat.</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Dukungan emosional, sosial, dan praktis ini membuat keluarga ODGJ merasa lebih percaya diri dalam memberikan perawatan tanpa harus melakukan pemasungan (Suryani et al., 2018).</w:t>
      </w:r>
      <w:proofErr w:type="gramEnd"/>
    </w:p>
    <w:p w:rsidR="002235BC" w:rsidRPr="002235BC" w:rsidRDefault="002235BC" w:rsidP="002235BC">
      <w:pPr>
        <w:tabs>
          <w:tab w:val="left" w:pos="426"/>
        </w:tabs>
        <w:ind w:firstLine="709"/>
        <w:jc w:val="both"/>
        <w:rPr>
          <w:rFonts w:eastAsia="Times New Roman"/>
          <w:color w:val="000000"/>
          <w:sz w:val="22"/>
          <w:szCs w:val="22"/>
        </w:rPr>
      </w:pPr>
      <w:proofErr w:type="gramStart"/>
      <w:r w:rsidRPr="002235BC">
        <w:rPr>
          <w:rFonts w:eastAsia="Times New Roman"/>
          <w:color w:val="000000"/>
          <w:sz w:val="22"/>
          <w:szCs w:val="22"/>
        </w:rPr>
        <w:t>Dibandingkan faktor ekonomi, pengetahuan, dan sosial budaya, lingkungan sosial terbukti memberikan pengaruh yang lebih langsung terhadap tumbuhnya empati.</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Bahkan dalam keterbatasan ekonomi atau rendahnya tingkat pendidikan, lingkungan yang suportif tetap mampu menumbuhkan kepedulian yang tinggi terhadap ODGJ.</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Dinamika sosial di sekitar individu berperan besar dalam membentuk empati, serta mendorong munculnya inisiatif lokal seperti kelompok peduli ODGJ, pendampingan berbasis komunitas, dan program kesehatan jiwa masyarakat (Kusumadewi et al., 2019).</w:t>
      </w:r>
      <w:proofErr w:type="gramEnd"/>
    </w:p>
    <w:p w:rsidR="007D15C8" w:rsidRDefault="002235BC" w:rsidP="002235BC">
      <w:pPr>
        <w:tabs>
          <w:tab w:val="left" w:pos="426"/>
        </w:tabs>
        <w:ind w:firstLine="709"/>
        <w:jc w:val="both"/>
        <w:rPr>
          <w:rFonts w:eastAsia="Times New Roman"/>
          <w:color w:val="000000"/>
          <w:sz w:val="22"/>
          <w:szCs w:val="22"/>
        </w:rPr>
      </w:pPr>
      <w:proofErr w:type="gramStart"/>
      <w:r w:rsidRPr="002235BC">
        <w:rPr>
          <w:rFonts w:eastAsia="Times New Roman"/>
          <w:color w:val="000000"/>
          <w:sz w:val="22"/>
          <w:szCs w:val="22"/>
        </w:rPr>
        <w:t>Dengan demikian, hasil penelitian ini menegaskan bahwa penguatan lingkungan sosial merupakan strategi utama dalam meningkatkan empati masyarakat dan mencegah praktik pasung.</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Intervensi kesehatan jiwa sebaiknya tidak hanya difokuskan pada individu atau keluarga, tetapi juga diarahkan pada pembangunan komunitas yang inklusif dan peduli, melalui pelibatan tokoh masyarakat, pengurangan stigma, serta penguatan program berbasis komunitas seperti posyandu jiwa dan kolaborasi lintas sektor.</w:t>
      </w:r>
      <w:proofErr w:type="gramEnd"/>
      <w:r w:rsidRPr="002235BC">
        <w:rPr>
          <w:rFonts w:eastAsia="Times New Roman"/>
          <w:color w:val="000000"/>
          <w:sz w:val="22"/>
          <w:szCs w:val="22"/>
        </w:rPr>
        <w:t xml:space="preserve"> </w:t>
      </w:r>
      <w:proofErr w:type="gramStart"/>
      <w:r w:rsidRPr="002235BC">
        <w:rPr>
          <w:rFonts w:eastAsia="Times New Roman"/>
          <w:color w:val="000000"/>
          <w:sz w:val="22"/>
          <w:szCs w:val="22"/>
        </w:rPr>
        <w:t xml:space="preserve">Pendekatan berbasis lingkungan ini dinilai lebih efektif dan </w:t>
      </w:r>
      <w:r w:rsidRPr="002235BC">
        <w:rPr>
          <w:rFonts w:eastAsia="Times New Roman"/>
          <w:color w:val="000000"/>
          <w:sz w:val="22"/>
          <w:szCs w:val="22"/>
        </w:rPr>
        <w:lastRenderedPageBreak/>
        <w:t>berkelanjutan dalam mendukung pemulihan ODGJ serta penghormatan terhadap hak-haknya di masyarakat.</w:t>
      </w:r>
      <w:proofErr w:type="gramEnd"/>
    </w:p>
    <w:p w:rsidR="00526FB2" w:rsidRDefault="00526FB2" w:rsidP="003F4A35">
      <w:pPr>
        <w:tabs>
          <w:tab w:val="left" w:pos="426"/>
        </w:tabs>
        <w:ind w:firstLine="709"/>
        <w:jc w:val="both"/>
        <w:rPr>
          <w:rFonts w:eastAsia="Times New Roman"/>
          <w:color w:val="000000"/>
          <w:sz w:val="22"/>
          <w:szCs w:val="22"/>
        </w:rPr>
      </w:pPr>
    </w:p>
    <w:p w:rsidR="003F4A35" w:rsidRPr="003F4A35" w:rsidRDefault="003F4A35" w:rsidP="003F4A35">
      <w:pPr>
        <w:tabs>
          <w:tab w:val="left" w:pos="426"/>
        </w:tabs>
        <w:ind w:firstLine="709"/>
        <w:jc w:val="both"/>
        <w:rPr>
          <w:b/>
          <w:sz w:val="22"/>
          <w:szCs w:val="22"/>
          <w:lang w:val="id-ID"/>
        </w:rPr>
      </w:pPr>
    </w:p>
    <w:p w:rsidR="000A19C5" w:rsidRDefault="00A647AE">
      <w:pPr>
        <w:tabs>
          <w:tab w:val="left" w:pos="426"/>
        </w:tabs>
        <w:jc w:val="both"/>
        <w:rPr>
          <w:b/>
          <w:sz w:val="22"/>
          <w:szCs w:val="22"/>
        </w:rPr>
      </w:pPr>
      <w:r>
        <w:rPr>
          <w:b/>
          <w:sz w:val="22"/>
          <w:szCs w:val="22"/>
        </w:rPr>
        <w:t>KESIMPULAN</w:t>
      </w:r>
    </w:p>
    <w:p w:rsidR="002235BC" w:rsidRPr="002235BC" w:rsidRDefault="002235BC" w:rsidP="002235BC">
      <w:pPr>
        <w:ind w:firstLine="720"/>
        <w:jc w:val="both"/>
        <w:rPr>
          <w:sz w:val="22"/>
          <w:szCs w:val="22"/>
        </w:rPr>
      </w:pPr>
      <w:r w:rsidRPr="002235BC">
        <w:rPr>
          <w:sz w:val="22"/>
          <w:szCs w:val="22"/>
        </w:rPr>
        <w:t xml:space="preserve">Penelitian ini menunjukkan bahwa empati masyarakat dalam perilaku </w:t>
      </w:r>
      <w:r w:rsidR="00FC6F48">
        <w:rPr>
          <w:sz w:val="22"/>
          <w:szCs w:val="22"/>
        </w:rPr>
        <w:t xml:space="preserve">memanusiakan Orang </w:t>
      </w:r>
      <w:r w:rsidR="00FC6F48">
        <w:rPr>
          <w:sz w:val="22"/>
          <w:szCs w:val="22"/>
          <w:lang w:val="id-ID"/>
        </w:rPr>
        <w:t>d</w:t>
      </w:r>
      <w:r w:rsidRPr="002235BC">
        <w:rPr>
          <w:sz w:val="22"/>
          <w:szCs w:val="22"/>
        </w:rPr>
        <w:t xml:space="preserve">engan Gangguan Jiwa (ODGJ) pasung di wilayah kerja Puskesmas Ranuyoso dipengaruhi oleh berbagai faktor, yaitu sosial budaya, pengetahuan, ekonomi, dan lingkungan. </w:t>
      </w:r>
      <w:proofErr w:type="gramStart"/>
      <w:r w:rsidRPr="002235BC">
        <w:rPr>
          <w:sz w:val="22"/>
          <w:szCs w:val="22"/>
        </w:rPr>
        <w:t>Hasil analisis bivariat menunjukkan bahwa keempat faktor tersebut memiliki hubungan yang signifikan dengan empati masyarakat.</w:t>
      </w:r>
      <w:proofErr w:type="gramEnd"/>
      <w:r w:rsidRPr="002235BC">
        <w:rPr>
          <w:sz w:val="22"/>
          <w:szCs w:val="22"/>
        </w:rPr>
        <w:t xml:space="preserve"> </w:t>
      </w:r>
      <w:proofErr w:type="gramStart"/>
      <w:r w:rsidRPr="002235BC">
        <w:rPr>
          <w:sz w:val="22"/>
          <w:szCs w:val="22"/>
        </w:rPr>
        <w:t>Namun, berdasarkan analisis multivariat, hanya faktor lingkungan yang terbukti berpengaruh secara signifikan dan menjadi faktor dominan dalam membentuk empati masyarakat terhadap ODGJ pasung.</w:t>
      </w:r>
      <w:proofErr w:type="gramEnd"/>
    </w:p>
    <w:p w:rsidR="002235BC" w:rsidRPr="002235BC" w:rsidRDefault="002235BC" w:rsidP="002235BC">
      <w:pPr>
        <w:ind w:firstLine="720"/>
        <w:jc w:val="both"/>
        <w:rPr>
          <w:sz w:val="22"/>
          <w:szCs w:val="22"/>
        </w:rPr>
      </w:pPr>
      <w:proofErr w:type="gramStart"/>
      <w:r w:rsidRPr="002235BC">
        <w:rPr>
          <w:sz w:val="22"/>
          <w:szCs w:val="22"/>
        </w:rPr>
        <w:t>Lingkungan sosial yang suportif, inklusif, dan bebas stigma berperan penting dalam mendorong sikap empatik masyarakat serta menurunkan praktik pemasungan.</w:t>
      </w:r>
      <w:proofErr w:type="gramEnd"/>
      <w:r w:rsidRPr="002235BC">
        <w:rPr>
          <w:sz w:val="22"/>
          <w:szCs w:val="22"/>
        </w:rPr>
        <w:t xml:space="preserve"> </w:t>
      </w:r>
      <w:proofErr w:type="gramStart"/>
      <w:r w:rsidRPr="002235BC">
        <w:rPr>
          <w:sz w:val="22"/>
          <w:szCs w:val="22"/>
        </w:rPr>
        <w:t>Dukungan dari keluarga, tetangga, tokoh masyarakat, dan institusi lokal menciptakan ruang sosial yang aman bagi ODGJ untuk memperoleh perawatan yang manusiawi dan bermartabat.</w:t>
      </w:r>
      <w:proofErr w:type="gramEnd"/>
      <w:r w:rsidRPr="002235BC">
        <w:rPr>
          <w:sz w:val="22"/>
          <w:szCs w:val="22"/>
        </w:rPr>
        <w:t xml:space="preserve"> </w:t>
      </w:r>
      <w:proofErr w:type="gramStart"/>
      <w:r w:rsidRPr="002235BC">
        <w:rPr>
          <w:sz w:val="22"/>
          <w:szCs w:val="22"/>
        </w:rPr>
        <w:t>Temuan ini menegaskan bahwa empati masyarakat lebih banyak dibentuk oleh dinamika lingkungan sosial dibandingkan oleh faktor ekonomi, pengetahuan, maupun sosial budaya secara individual.</w:t>
      </w:r>
      <w:proofErr w:type="gramEnd"/>
    </w:p>
    <w:p w:rsidR="002235BC" w:rsidRPr="002235BC" w:rsidRDefault="002235BC" w:rsidP="002235BC">
      <w:pPr>
        <w:ind w:firstLine="720"/>
        <w:jc w:val="both"/>
        <w:rPr>
          <w:sz w:val="22"/>
          <w:szCs w:val="22"/>
        </w:rPr>
      </w:pPr>
      <w:proofErr w:type="gramStart"/>
      <w:r w:rsidRPr="002235BC">
        <w:rPr>
          <w:sz w:val="22"/>
          <w:szCs w:val="22"/>
        </w:rPr>
        <w:t>Oleh karena itu, upaya penghapusan praktik pasung terhadap ODGJ perlu difokuskan pada penguatan lingkungan sosial melalui pendekatan berbasis komunitas.</w:t>
      </w:r>
      <w:proofErr w:type="gramEnd"/>
      <w:r w:rsidRPr="002235BC">
        <w:rPr>
          <w:sz w:val="22"/>
          <w:szCs w:val="22"/>
        </w:rPr>
        <w:t xml:space="preserve"> </w:t>
      </w:r>
      <w:proofErr w:type="gramStart"/>
      <w:r w:rsidRPr="002235BC">
        <w:rPr>
          <w:sz w:val="22"/>
          <w:szCs w:val="22"/>
        </w:rPr>
        <w:t>Intervensi kesehatan jiwa hendaknya mengedepankan pembangunan komunitas yang peduli, peningkatan peran tokoh masyarakat, pengurangan stigma, serta penguatan program kesehatan jiwa seperti posyandu jiwa dan kolaborasi lintas sektor.</w:t>
      </w:r>
      <w:proofErr w:type="gramEnd"/>
      <w:r w:rsidRPr="002235BC">
        <w:rPr>
          <w:sz w:val="22"/>
          <w:szCs w:val="22"/>
        </w:rPr>
        <w:t xml:space="preserve"> </w:t>
      </w:r>
      <w:proofErr w:type="gramStart"/>
      <w:r w:rsidRPr="002235BC">
        <w:rPr>
          <w:sz w:val="22"/>
          <w:szCs w:val="22"/>
        </w:rPr>
        <w:t>Pendekatan ini diharapkan mampu meningkatkan empati masyarakat secara berkelanjutan dan mendukung pemulihan ODGJ di masyarakat.</w:t>
      </w:r>
      <w:proofErr w:type="gramEnd"/>
    </w:p>
    <w:p w:rsidR="000A19C5" w:rsidRDefault="00A647AE">
      <w:pPr>
        <w:tabs>
          <w:tab w:val="left" w:pos="426"/>
        </w:tabs>
        <w:jc w:val="both"/>
        <w:rPr>
          <w:b/>
          <w:sz w:val="22"/>
          <w:szCs w:val="22"/>
        </w:rPr>
      </w:pPr>
      <w:r>
        <w:rPr>
          <w:b/>
          <w:sz w:val="22"/>
          <w:szCs w:val="22"/>
        </w:rPr>
        <w:t>DAFTAR PUSTAKA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Ahmad, R., et al. (2023). </w:t>
      </w:r>
      <w:r w:rsidRPr="002235BC">
        <w:rPr>
          <w:bCs/>
          <w:i/>
          <w:iCs/>
          <w:color w:val="000000"/>
          <w:sz w:val="22"/>
          <w:szCs w:val="22"/>
          <w:lang w:val="id-ID"/>
        </w:rPr>
        <w:t>Community-Based Approaches to Mental Health Care in Indonesia</w:t>
      </w:r>
      <w:r w:rsidRPr="002235BC">
        <w:rPr>
          <w:bCs/>
          <w:color w:val="000000"/>
          <w:sz w:val="22"/>
          <w:szCs w:val="22"/>
          <w:lang w:val="id-ID"/>
        </w:rPr>
        <w:t>. Journal of Public Health, 15(3), 45-60.</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lastRenderedPageBreak/>
        <w:t xml:space="preserve">Batson, C. D. (2019). </w:t>
      </w:r>
      <w:r w:rsidRPr="002235BC">
        <w:rPr>
          <w:bCs/>
          <w:i/>
          <w:iCs/>
          <w:color w:val="000000"/>
          <w:sz w:val="22"/>
          <w:szCs w:val="22"/>
          <w:lang w:val="id-ID"/>
        </w:rPr>
        <w:t>Altruism in Humans. Oxford University Press</w:t>
      </w:r>
      <w:r w:rsidRPr="002235BC">
        <w:rPr>
          <w:bCs/>
          <w:color w:val="000000"/>
          <w:sz w:val="22"/>
          <w:szCs w:val="22"/>
          <w:lang w:val="id-ID"/>
        </w:rPr>
        <w:t xml:space="preserve">.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Brown, T. (2022). </w:t>
      </w:r>
      <w:r w:rsidRPr="002235BC">
        <w:rPr>
          <w:bCs/>
          <w:i/>
          <w:iCs/>
          <w:color w:val="000000"/>
          <w:sz w:val="22"/>
          <w:szCs w:val="22"/>
          <w:lang w:val="id-ID"/>
        </w:rPr>
        <w:t>Empathy and Stigma Reduction in Mental Health</w:t>
      </w:r>
      <w:r w:rsidRPr="002235BC">
        <w:rPr>
          <w:bCs/>
          <w:color w:val="000000"/>
          <w:sz w:val="22"/>
          <w:szCs w:val="22"/>
          <w:lang w:val="id-ID"/>
        </w:rPr>
        <w:t>. International Journal of Mental Health, 10(2), 112-125.</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Davis, M. H. (2018). </w:t>
      </w:r>
      <w:r w:rsidRPr="002235BC">
        <w:rPr>
          <w:bCs/>
          <w:i/>
          <w:iCs/>
          <w:color w:val="000000"/>
          <w:sz w:val="22"/>
          <w:szCs w:val="22"/>
          <w:lang w:val="id-ID"/>
        </w:rPr>
        <w:t>Empathy: A Social Psychological Approach. Routledge</w:t>
      </w:r>
      <w:r w:rsidRPr="002235BC">
        <w:rPr>
          <w:bCs/>
          <w:color w:val="000000"/>
          <w:sz w:val="22"/>
          <w:szCs w:val="22"/>
          <w:lang w:val="id-ID"/>
        </w:rPr>
        <w:t xml:space="preserve">.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Fitriani, D., et al. (2022). </w:t>
      </w:r>
      <w:r w:rsidRPr="002235BC">
        <w:rPr>
          <w:bCs/>
          <w:i/>
          <w:iCs/>
          <w:color w:val="000000"/>
          <w:sz w:val="22"/>
          <w:szCs w:val="22"/>
          <w:lang w:val="id-ID"/>
        </w:rPr>
        <w:t>Cultural Factors Influencing Pasung Practices in Rural Indonesia</w:t>
      </w:r>
      <w:r w:rsidRPr="002235BC">
        <w:rPr>
          <w:bCs/>
          <w:color w:val="000000"/>
          <w:sz w:val="22"/>
          <w:szCs w:val="22"/>
          <w:lang w:val="id-ID"/>
        </w:rPr>
        <w:t>. Asian Journal of Psychiatry, 8(4), 78-90.</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Handayani, A., &amp; Purnamasari, I. (2023). </w:t>
      </w:r>
      <w:r w:rsidRPr="002235BC">
        <w:rPr>
          <w:bCs/>
          <w:i/>
          <w:iCs/>
          <w:color w:val="000000"/>
          <w:sz w:val="22"/>
          <w:szCs w:val="22"/>
          <w:lang w:val="id-ID"/>
        </w:rPr>
        <w:t>Psikologi Klinis: Teori dan Aplikasi dalam Kesehatan Mental</w:t>
      </w:r>
      <w:r w:rsidRPr="002235BC">
        <w:rPr>
          <w:bCs/>
          <w:color w:val="000000"/>
          <w:sz w:val="22"/>
          <w:szCs w:val="22"/>
          <w:lang w:val="id-ID"/>
        </w:rPr>
        <w:t>. Jakarta: Pustaka Medika.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Jones, L. (2021). </w:t>
      </w:r>
      <w:r w:rsidRPr="002235BC">
        <w:rPr>
          <w:bCs/>
          <w:i/>
          <w:iCs/>
          <w:color w:val="000000"/>
          <w:sz w:val="22"/>
          <w:szCs w:val="22"/>
          <w:lang w:val="id-ID"/>
        </w:rPr>
        <w:t>Mental Health Stigma in Developing Countries</w:t>
      </w:r>
      <w:r w:rsidRPr="002235BC">
        <w:rPr>
          <w:bCs/>
          <w:color w:val="000000"/>
          <w:sz w:val="22"/>
          <w:szCs w:val="22"/>
          <w:lang w:val="id-ID"/>
        </w:rPr>
        <w:t>. Global Health Review, 12(1), 23-35.</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Kadir, A. (2021). </w:t>
      </w:r>
      <w:r w:rsidRPr="002235BC">
        <w:rPr>
          <w:bCs/>
          <w:i/>
          <w:iCs/>
          <w:color w:val="000000"/>
          <w:sz w:val="22"/>
          <w:szCs w:val="22"/>
          <w:lang w:val="id-ID"/>
        </w:rPr>
        <w:t>Faktor Penyebab Gangguan Jiwa dan Penanganannya</w:t>
      </w:r>
      <w:r w:rsidRPr="002235BC">
        <w:rPr>
          <w:bCs/>
          <w:color w:val="000000"/>
          <w:sz w:val="22"/>
          <w:szCs w:val="22"/>
          <w:lang w:val="id-ID"/>
        </w:rPr>
        <w:t>. Yogyakarta: Graha Ilmu.</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Karnina, R., &amp; Ismah, S. (2021). </w:t>
      </w:r>
      <w:r w:rsidRPr="002235BC">
        <w:rPr>
          <w:bCs/>
          <w:i/>
          <w:iCs/>
          <w:color w:val="000000"/>
          <w:sz w:val="22"/>
          <w:szCs w:val="22"/>
          <w:lang w:val="id-ID"/>
        </w:rPr>
        <w:t>Perkembangan Individu dan Gangguan Mental: Teori dan Praktik</w:t>
      </w:r>
      <w:r w:rsidRPr="002235BC">
        <w:rPr>
          <w:bCs/>
          <w:color w:val="000000"/>
          <w:sz w:val="22"/>
          <w:szCs w:val="22"/>
          <w:lang w:val="id-ID"/>
        </w:rPr>
        <w:t>. Bandung: Refika Aditama.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Kemenkes RI. (2020). </w:t>
      </w:r>
      <w:r w:rsidRPr="002235BC">
        <w:rPr>
          <w:bCs/>
          <w:i/>
          <w:iCs/>
          <w:color w:val="000000"/>
          <w:sz w:val="22"/>
          <w:szCs w:val="22"/>
          <w:lang w:val="id-ID"/>
        </w:rPr>
        <w:t>Laporan Nasional Kesehatan Jiwa</w:t>
      </w:r>
      <w:r w:rsidRPr="002235BC">
        <w:rPr>
          <w:bCs/>
          <w:color w:val="000000"/>
          <w:sz w:val="22"/>
          <w:szCs w:val="22"/>
          <w:lang w:val="id-ID"/>
        </w:rPr>
        <w:t>. Jakarta: Kementerian Kesehatan Republik Indonesia.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Kementerian Kesehatan RI. (2017). Pedoman Penanganan Pasung pada Orang Dengan Gangguan Jiwa (ODGJ). Jakarta: Kemenkes RI.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Kementerian Kesehatan RI. (2019). Laporan Indonesia Bebas Pasung. Jakarta: Kemenkes RI.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Kusumadewi, R., Suryani, S., &amp; Widyawati, M. (2019). </w:t>
      </w:r>
      <w:r w:rsidRPr="002235BC">
        <w:rPr>
          <w:bCs/>
          <w:i/>
          <w:iCs/>
          <w:color w:val="000000"/>
          <w:sz w:val="22"/>
          <w:szCs w:val="22"/>
          <w:lang w:val="id-ID"/>
        </w:rPr>
        <w:t>Economic constraints and their impact on family empathy towards shackled mentally ill patients</w:t>
      </w:r>
      <w:r w:rsidRPr="002235BC">
        <w:rPr>
          <w:bCs/>
          <w:color w:val="000000"/>
          <w:sz w:val="22"/>
          <w:szCs w:val="22"/>
          <w:lang w:val="id-ID"/>
        </w:rPr>
        <w:t xml:space="preserve">. Journal of Mental Health Research, 12(3), 45-60.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Kusumadewi, Y., Suryani, S., &amp; Widyawati, M. N. (2019). Effects of Shackling on the Physical and Mental Health of People with Mental Illness in Indonesia. Journal of Mental Health, 28(5), 511-517.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Kusumadewi, Y., Suryani, S., &amp; Widyawati, M. N. (2019). Effects of Shackling on the Physical and Mental Health of People </w:t>
      </w:r>
      <w:r w:rsidRPr="002235BC">
        <w:rPr>
          <w:bCs/>
          <w:color w:val="000000"/>
          <w:sz w:val="22"/>
          <w:szCs w:val="22"/>
          <w:lang w:val="id-ID"/>
        </w:rPr>
        <w:lastRenderedPageBreak/>
        <w:t xml:space="preserve">with Mental Illness in Indonesia. Journal of Mental Health, 28(5), 511-517.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Minas, H. (2018). </w:t>
      </w:r>
      <w:r w:rsidRPr="002235BC">
        <w:rPr>
          <w:bCs/>
          <w:i/>
          <w:iCs/>
          <w:color w:val="000000"/>
          <w:sz w:val="22"/>
          <w:szCs w:val="22"/>
          <w:lang w:val="id-ID"/>
        </w:rPr>
        <w:t>Stigma and mental illness: Barriers to empathy and humane treatment of shackled patients</w:t>
      </w:r>
      <w:r w:rsidRPr="002235BC">
        <w:rPr>
          <w:bCs/>
          <w:color w:val="000000"/>
          <w:sz w:val="22"/>
          <w:szCs w:val="22"/>
          <w:lang w:val="id-ID"/>
        </w:rPr>
        <w:t xml:space="preserve">. International Journal of Social Psychiatry, 64(2), 101-115.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Nasution, R., Susanti, D., &amp; Wardani, A. (2021). </w:t>
      </w:r>
      <w:r w:rsidRPr="002235BC">
        <w:rPr>
          <w:bCs/>
          <w:i/>
          <w:iCs/>
          <w:color w:val="000000"/>
          <w:sz w:val="22"/>
          <w:szCs w:val="22"/>
          <w:lang w:val="id-ID"/>
        </w:rPr>
        <w:t>Psikopatologi: Gangguan Jiwa dalam Perspektif Klinis dan Sosial</w:t>
      </w:r>
      <w:r w:rsidRPr="002235BC">
        <w:rPr>
          <w:bCs/>
          <w:color w:val="000000"/>
          <w:sz w:val="22"/>
          <w:szCs w:val="22"/>
          <w:lang w:val="id-ID"/>
        </w:rPr>
        <w:t>. Surabaya: Erlangga.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Nugroho, A. (2023). </w:t>
      </w:r>
      <w:r w:rsidRPr="002235BC">
        <w:rPr>
          <w:bCs/>
          <w:i/>
          <w:iCs/>
          <w:color w:val="000000"/>
          <w:sz w:val="22"/>
          <w:szCs w:val="22"/>
          <w:lang w:val="id-ID"/>
        </w:rPr>
        <w:t>Evaluasi Program Penghapusan Pasung di Jawa Timur</w:t>
      </w:r>
      <w:r w:rsidRPr="002235BC">
        <w:rPr>
          <w:bCs/>
          <w:color w:val="000000"/>
          <w:sz w:val="22"/>
          <w:szCs w:val="22"/>
          <w:lang w:val="id-ID"/>
        </w:rPr>
        <w:t>. Jurnal Kesehatan Masyarakat, 18(2), 67-80.</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Oktaviana, T. (2021). </w:t>
      </w:r>
      <w:r w:rsidRPr="002235BC">
        <w:rPr>
          <w:bCs/>
          <w:i/>
          <w:iCs/>
          <w:color w:val="000000"/>
          <w:sz w:val="22"/>
          <w:szCs w:val="22"/>
          <w:lang w:val="id-ID"/>
        </w:rPr>
        <w:t>Peran Keluarga dalam Perawatan Pasien dengan Gangguan Jiwa</w:t>
      </w:r>
      <w:r w:rsidRPr="002235BC">
        <w:rPr>
          <w:bCs/>
          <w:color w:val="000000"/>
          <w:sz w:val="22"/>
          <w:szCs w:val="22"/>
          <w:lang w:val="id-ID"/>
        </w:rPr>
        <w:t>. Malang: UB Press.</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Putra, I. (2019). </w:t>
      </w:r>
      <w:r w:rsidRPr="002235BC">
        <w:rPr>
          <w:bCs/>
          <w:i/>
          <w:iCs/>
          <w:color w:val="000000"/>
          <w:sz w:val="22"/>
          <w:szCs w:val="22"/>
          <w:lang w:val="id-ID"/>
        </w:rPr>
        <w:t>Pasung: A Human Rights Violation in Mental Health Care</w:t>
      </w:r>
      <w:r w:rsidRPr="002235BC">
        <w:rPr>
          <w:bCs/>
          <w:color w:val="000000"/>
          <w:sz w:val="22"/>
          <w:szCs w:val="22"/>
          <w:lang w:val="id-ID"/>
        </w:rPr>
        <w:t>. Indonesian Journal of Social Sciences, 7(1), 34-45.</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Rizqoni, A., &amp; Mariyam, N. (2023). </w:t>
      </w:r>
      <w:r w:rsidRPr="002235BC">
        <w:rPr>
          <w:bCs/>
          <w:i/>
          <w:iCs/>
          <w:color w:val="000000"/>
          <w:sz w:val="22"/>
          <w:szCs w:val="22"/>
          <w:lang w:val="id-ID"/>
        </w:rPr>
        <w:t>Diagnosis Gangguan Jiwa: ICD dan DSM dalam Praktik Klinis</w:t>
      </w:r>
      <w:r w:rsidRPr="002235BC">
        <w:rPr>
          <w:bCs/>
          <w:color w:val="000000"/>
          <w:sz w:val="22"/>
          <w:szCs w:val="22"/>
          <w:lang w:val="id-ID"/>
        </w:rPr>
        <w:t>. Jakarta: Salemba Medika.</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Sadock, B. J., &amp; Sadock, V. A. (2020). </w:t>
      </w:r>
      <w:r w:rsidRPr="002235BC">
        <w:rPr>
          <w:bCs/>
          <w:i/>
          <w:iCs/>
          <w:color w:val="000000"/>
          <w:sz w:val="22"/>
          <w:szCs w:val="22"/>
          <w:lang w:val="id-ID"/>
        </w:rPr>
        <w:t>Kaplan and Sadock's Synopsis of Psychiatry: Behavioral Sciences/Clinical Psychiatry (12th ed.).</w:t>
      </w:r>
      <w:r w:rsidRPr="002235BC">
        <w:rPr>
          <w:bCs/>
          <w:color w:val="000000"/>
          <w:sz w:val="22"/>
          <w:szCs w:val="22"/>
          <w:lang w:val="id-ID"/>
        </w:rPr>
        <w:t xml:space="preserve"> Lippincott Williams &amp; Wilkins.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Saraceno, B., et al. (2018). </w:t>
      </w:r>
      <w:r w:rsidRPr="002235BC">
        <w:rPr>
          <w:bCs/>
          <w:i/>
          <w:iCs/>
          <w:color w:val="000000"/>
          <w:sz w:val="22"/>
          <w:szCs w:val="22"/>
          <w:lang w:val="id-ID"/>
        </w:rPr>
        <w:t>The Global Burden of Mental Disorders. The Lancet Psychiatry,</w:t>
      </w:r>
      <w:r w:rsidRPr="002235BC">
        <w:rPr>
          <w:bCs/>
          <w:color w:val="000000"/>
          <w:sz w:val="22"/>
          <w:szCs w:val="22"/>
          <w:lang w:val="id-ID"/>
        </w:rPr>
        <w:t xml:space="preserve"> 5(3), 237-250.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Saraceno, B., Ommeren, M. V., Batniji, R., Cohen, A., &amp; Gureje, O. (2018). </w:t>
      </w:r>
      <w:r w:rsidRPr="002235BC">
        <w:rPr>
          <w:bCs/>
          <w:i/>
          <w:iCs/>
          <w:color w:val="000000"/>
          <w:sz w:val="22"/>
          <w:szCs w:val="22"/>
          <w:lang w:val="id-ID"/>
        </w:rPr>
        <w:t>Barriers to mental health care in developing countries. The Lancet</w:t>
      </w:r>
      <w:r w:rsidRPr="002235BC">
        <w:rPr>
          <w:bCs/>
          <w:color w:val="000000"/>
          <w:sz w:val="22"/>
          <w:szCs w:val="22"/>
          <w:lang w:val="id-ID"/>
        </w:rPr>
        <w:t xml:space="preserve">, 370(9593), 1164-1174.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Saraceno, B., van Ommeren, M., Batniji, R., Cohen, A., Gureje, O., Mahoney, J., ... &amp; Underhill, C. (2018). </w:t>
      </w:r>
      <w:r w:rsidRPr="002235BC">
        <w:rPr>
          <w:bCs/>
          <w:i/>
          <w:iCs/>
          <w:color w:val="000000"/>
          <w:sz w:val="22"/>
          <w:szCs w:val="22"/>
          <w:lang w:val="id-ID"/>
        </w:rPr>
        <w:t>Knowledge gaps and stigma reduction in mental health care: A community-based approach</w:t>
      </w:r>
      <w:r w:rsidRPr="002235BC">
        <w:rPr>
          <w:bCs/>
          <w:color w:val="000000"/>
          <w:sz w:val="22"/>
          <w:szCs w:val="22"/>
          <w:lang w:val="id-ID"/>
        </w:rPr>
        <w:t xml:space="preserve">. The Lancet Psychiatry, 5(7), 567-579. </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lastRenderedPageBreak/>
        <w:t>Sari, R., et al. (2023). </w:t>
      </w:r>
      <w:r w:rsidRPr="002235BC">
        <w:rPr>
          <w:bCs/>
          <w:i/>
          <w:iCs/>
          <w:color w:val="000000"/>
          <w:sz w:val="22"/>
          <w:szCs w:val="22"/>
          <w:lang w:val="id-ID"/>
        </w:rPr>
        <w:t>Knowledge and Attitudes Toward Mental Health in Rural Communities</w:t>
      </w:r>
      <w:r w:rsidRPr="002235BC">
        <w:rPr>
          <w:bCs/>
          <w:color w:val="000000"/>
          <w:sz w:val="22"/>
          <w:szCs w:val="22"/>
          <w:lang w:val="id-ID"/>
        </w:rPr>
        <w:t>. Journal of Community Psychology, 14(3), 89-102.</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Sariah, M., et al. (2019). </w:t>
      </w:r>
      <w:r w:rsidRPr="002235BC">
        <w:rPr>
          <w:bCs/>
          <w:i/>
          <w:iCs/>
          <w:color w:val="000000"/>
          <w:sz w:val="22"/>
          <w:szCs w:val="22"/>
          <w:lang w:val="id-ID"/>
        </w:rPr>
        <w:t>Pedoman Penggolongan dan Diagnosis Gangguan Jiwa di Indonesia (PPDGJ III)</w:t>
      </w:r>
      <w:r w:rsidRPr="002235BC">
        <w:rPr>
          <w:bCs/>
          <w:color w:val="000000"/>
          <w:sz w:val="22"/>
          <w:szCs w:val="22"/>
          <w:lang w:val="id-ID"/>
        </w:rPr>
        <w:t>. Jakarta: Kementerian Kesehatan RI.</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Smith, J. (2020). </w:t>
      </w:r>
      <w:r w:rsidRPr="002235BC">
        <w:rPr>
          <w:bCs/>
          <w:i/>
          <w:iCs/>
          <w:color w:val="000000"/>
          <w:sz w:val="22"/>
          <w:szCs w:val="22"/>
          <w:lang w:val="id-ID"/>
        </w:rPr>
        <w:t>Empathy and Its Role in Mental Health Care</w:t>
      </w:r>
      <w:r w:rsidRPr="002235BC">
        <w:rPr>
          <w:bCs/>
          <w:color w:val="000000"/>
          <w:sz w:val="22"/>
          <w:szCs w:val="22"/>
          <w:lang w:val="id-ID"/>
        </w:rPr>
        <w:t>. Journal of Mental Health, 9(2), 56-70.</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Surudani, D., et al. (2021). </w:t>
      </w:r>
      <w:r w:rsidRPr="002235BC">
        <w:rPr>
          <w:bCs/>
          <w:i/>
          <w:iCs/>
          <w:color w:val="000000"/>
          <w:sz w:val="22"/>
          <w:szCs w:val="22"/>
          <w:lang w:val="id-ID"/>
        </w:rPr>
        <w:t>Psikologi Abnormal: Pendekatan Klinis dan Diagnostik</w:t>
      </w:r>
      <w:r w:rsidRPr="002235BC">
        <w:rPr>
          <w:bCs/>
          <w:color w:val="000000"/>
          <w:sz w:val="22"/>
          <w:szCs w:val="22"/>
          <w:lang w:val="id-ID"/>
        </w:rPr>
        <w:t>. Yogyakarta: Penerbit Andi.</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Suryani, E. (2024). </w:t>
      </w:r>
      <w:r w:rsidRPr="002235BC">
        <w:rPr>
          <w:bCs/>
          <w:i/>
          <w:iCs/>
          <w:color w:val="000000"/>
          <w:sz w:val="22"/>
          <w:szCs w:val="22"/>
          <w:lang w:val="id-ID"/>
        </w:rPr>
        <w:t>Policy Recommendations for Eliminating Pasung Practices in Indonesia</w:t>
      </w:r>
      <w:r w:rsidRPr="002235BC">
        <w:rPr>
          <w:bCs/>
          <w:color w:val="000000"/>
          <w:sz w:val="22"/>
          <w:szCs w:val="22"/>
          <w:lang w:val="id-ID"/>
        </w:rPr>
        <w:t>. Health Policy and Planning, 20(1), 101-115.</w:t>
      </w:r>
    </w:p>
    <w:p w:rsidR="002235BC" w:rsidRPr="002235BC" w:rsidRDefault="002235BC" w:rsidP="002235BC">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Suryani, S., Ramdhan, R., &amp; Darmawan, I. (2018). </w:t>
      </w:r>
      <w:r w:rsidRPr="002235BC">
        <w:rPr>
          <w:bCs/>
          <w:i/>
          <w:iCs/>
          <w:color w:val="000000"/>
          <w:sz w:val="22"/>
          <w:szCs w:val="22"/>
          <w:lang w:val="id-ID"/>
        </w:rPr>
        <w:t>Pasung as a Traditional Restraint Method for People with Mental Illness in Indonesia. International Journal of Social Psychiatry,</w:t>
      </w:r>
      <w:r w:rsidRPr="002235BC">
        <w:rPr>
          <w:bCs/>
          <w:color w:val="000000"/>
          <w:sz w:val="22"/>
          <w:szCs w:val="22"/>
          <w:lang w:val="id-ID"/>
        </w:rPr>
        <w:t xml:space="preserve"> 64(7), 625-632. </w:t>
      </w:r>
    </w:p>
    <w:p w:rsidR="006C50C3" w:rsidRDefault="006C50C3"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9E20DD" w:rsidRPr="002235BC" w:rsidRDefault="009E20DD" w:rsidP="009E20DD">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lastRenderedPageBreak/>
        <w:t xml:space="preserve">Suryani, S., Welch, A., &amp; Cox, L. (2018). </w:t>
      </w:r>
      <w:r w:rsidRPr="002235BC">
        <w:rPr>
          <w:bCs/>
          <w:i/>
          <w:iCs/>
          <w:color w:val="000000"/>
          <w:sz w:val="22"/>
          <w:szCs w:val="22"/>
          <w:lang w:val="id-ID"/>
        </w:rPr>
        <w:t>Mental Health Nurse’s Role in Reducing Shackling in Indonesia. International Journal of Mental Health Nursing</w:t>
      </w:r>
      <w:r w:rsidRPr="002235BC">
        <w:rPr>
          <w:bCs/>
          <w:color w:val="000000"/>
          <w:sz w:val="22"/>
          <w:szCs w:val="22"/>
          <w:lang w:val="id-ID"/>
        </w:rPr>
        <w:t xml:space="preserve">, 27(3), 1057-1065. </w:t>
      </w:r>
    </w:p>
    <w:p w:rsidR="009E20DD" w:rsidRPr="002235BC" w:rsidRDefault="009E20DD" w:rsidP="009E20DD">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Suryani, S., Welch, A., &amp; Cox, L. (2018). Social support and its influence on empathy towards shackled mentally ill individuals. Community Mental Health Journal, 54(4), 123-135.</w:t>
      </w:r>
    </w:p>
    <w:p w:rsidR="009E20DD" w:rsidRPr="002235BC" w:rsidRDefault="009E20DD" w:rsidP="009E20DD">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 xml:space="preserve">WHO. (2019). </w:t>
      </w:r>
      <w:r w:rsidRPr="002235BC">
        <w:rPr>
          <w:bCs/>
          <w:i/>
          <w:iCs/>
          <w:color w:val="000000"/>
          <w:sz w:val="22"/>
          <w:szCs w:val="22"/>
          <w:lang w:val="id-ID"/>
        </w:rPr>
        <w:t>Mental Health and Human Rights. Geneva: World Health Organization.</w:t>
      </w:r>
      <w:r w:rsidRPr="002235BC">
        <w:rPr>
          <w:bCs/>
          <w:color w:val="000000"/>
          <w:sz w:val="22"/>
          <w:szCs w:val="22"/>
          <w:lang w:val="id-ID"/>
        </w:rPr>
        <w:t xml:space="preserve"> </w:t>
      </w:r>
    </w:p>
    <w:p w:rsidR="009E20DD" w:rsidRPr="002235BC" w:rsidRDefault="009E20DD" w:rsidP="009E20DD">
      <w:pPr>
        <w:pBdr>
          <w:top w:val="nil"/>
          <w:left w:val="nil"/>
          <w:bottom w:val="nil"/>
          <w:right w:val="nil"/>
          <w:between w:val="nil"/>
        </w:pBdr>
        <w:spacing w:line="276" w:lineRule="auto"/>
        <w:ind w:left="709" w:hanging="709"/>
        <w:jc w:val="both"/>
        <w:rPr>
          <w:bCs/>
          <w:i/>
          <w:iCs/>
          <w:color w:val="000000"/>
          <w:sz w:val="22"/>
          <w:szCs w:val="22"/>
          <w:lang w:val="id-ID"/>
        </w:rPr>
      </w:pPr>
      <w:r w:rsidRPr="002235BC">
        <w:rPr>
          <w:bCs/>
          <w:color w:val="000000"/>
          <w:sz w:val="22"/>
          <w:szCs w:val="22"/>
          <w:lang w:val="id-ID"/>
        </w:rPr>
        <w:t xml:space="preserve">WHO. (2020). </w:t>
      </w:r>
      <w:r w:rsidRPr="002235BC">
        <w:rPr>
          <w:bCs/>
          <w:i/>
          <w:iCs/>
          <w:color w:val="000000"/>
          <w:sz w:val="22"/>
          <w:szCs w:val="22"/>
          <w:lang w:val="id-ID"/>
        </w:rPr>
        <w:t>Guidelines on Mental Health and Human Rights. Geneva: World Health Organization.</w:t>
      </w:r>
    </w:p>
    <w:p w:rsidR="009E20DD" w:rsidRPr="002235BC" w:rsidRDefault="009E20DD" w:rsidP="009E20DD">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WHO. (2021). </w:t>
      </w:r>
      <w:r w:rsidRPr="002235BC">
        <w:rPr>
          <w:bCs/>
          <w:i/>
          <w:iCs/>
          <w:color w:val="000000"/>
          <w:sz w:val="22"/>
          <w:szCs w:val="22"/>
          <w:lang w:val="id-ID"/>
        </w:rPr>
        <w:t>Global Mental Health Report</w:t>
      </w:r>
      <w:r w:rsidRPr="002235BC">
        <w:rPr>
          <w:bCs/>
          <w:color w:val="000000"/>
          <w:sz w:val="22"/>
          <w:szCs w:val="22"/>
          <w:lang w:val="id-ID"/>
        </w:rPr>
        <w:t>. Geneva: World Health Organization.</w:t>
      </w:r>
    </w:p>
    <w:p w:rsidR="009E20DD" w:rsidRPr="002235BC" w:rsidRDefault="009E20DD" w:rsidP="009E20DD">
      <w:pPr>
        <w:pBdr>
          <w:top w:val="nil"/>
          <w:left w:val="nil"/>
          <w:bottom w:val="nil"/>
          <w:right w:val="nil"/>
          <w:between w:val="nil"/>
        </w:pBdr>
        <w:spacing w:line="276" w:lineRule="auto"/>
        <w:ind w:left="709" w:hanging="709"/>
        <w:jc w:val="both"/>
        <w:rPr>
          <w:bCs/>
          <w:color w:val="000000"/>
          <w:sz w:val="22"/>
          <w:szCs w:val="22"/>
          <w:lang w:val="id-ID"/>
        </w:rPr>
      </w:pPr>
      <w:r w:rsidRPr="002235BC">
        <w:rPr>
          <w:bCs/>
          <w:color w:val="000000"/>
          <w:sz w:val="22"/>
          <w:szCs w:val="22"/>
          <w:lang w:val="id-ID"/>
        </w:rPr>
        <w:t>Wulandari, D. (2021). </w:t>
      </w:r>
      <w:r w:rsidRPr="002235BC">
        <w:rPr>
          <w:bCs/>
          <w:i/>
          <w:iCs/>
          <w:color w:val="000000"/>
          <w:sz w:val="22"/>
          <w:szCs w:val="22"/>
          <w:lang w:val="id-ID"/>
        </w:rPr>
        <w:t>Access to Mental Health Services in Rural Indonesia</w:t>
      </w:r>
      <w:r w:rsidRPr="002235BC">
        <w:rPr>
          <w:bCs/>
          <w:color w:val="000000"/>
          <w:sz w:val="22"/>
          <w:szCs w:val="22"/>
          <w:lang w:val="id-ID"/>
        </w:rPr>
        <w:t>. Southeast Asian Journal of Public Health, 6(2), 45-58.</w:t>
      </w:r>
    </w:p>
    <w:p w:rsidR="009E20DD" w:rsidRPr="009E20DD" w:rsidRDefault="009E20DD" w:rsidP="006C50C3">
      <w:pPr>
        <w:pBdr>
          <w:top w:val="nil"/>
          <w:left w:val="nil"/>
          <w:bottom w:val="nil"/>
          <w:right w:val="nil"/>
          <w:between w:val="nil"/>
        </w:pBdr>
        <w:spacing w:line="276" w:lineRule="auto"/>
        <w:ind w:left="709" w:hanging="709"/>
        <w:jc w:val="both"/>
        <w:rPr>
          <w:bCs/>
          <w:color w:val="000000"/>
          <w:sz w:val="22"/>
          <w:szCs w:val="22"/>
        </w:rPr>
      </w:pPr>
    </w:p>
    <w:p w:rsidR="006C50C3" w:rsidRPr="006C50C3" w:rsidRDefault="006C50C3" w:rsidP="00A54526">
      <w:pPr>
        <w:pBdr>
          <w:top w:val="nil"/>
          <w:left w:val="nil"/>
          <w:bottom w:val="nil"/>
          <w:right w:val="nil"/>
          <w:between w:val="nil"/>
        </w:pBdr>
        <w:spacing w:line="276" w:lineRule="auto"/>
        <w:jc w:val="both"/>
        <w:rPr>
          <w:color w:val="000000"/>
          <w:sz w:val="22"/>
          <w:szCs w:val="22"/>
          <w:lang w:val="id-ID"/>
        </w:rPr>
      </w:pPr>
    </w:p>
    <w:sectPr w:rsidR="006C50C3" w:rsidRPr="006C50C3" w:rsidSect="003F4A35">
      <w:type w:val="continuous"/>
      <w:pgSz w:w="11907" w:h="16839"/>
      <w:pgMar w:top="1134" w:right="1134" w:bottom="1134" w:left="1701" w:header="706" w:footer="706" w:gutter="0"/>
      <w:cols w:num="2" w:space="720" w:equalWidth="0">
        <w:col w:w="4318" w:space="720"/>
        <w:col w:w="4034"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F7" w:rsidRDefault="008F18F7">
      <w:r>
        <w:separator/>
      </w:r>
    </w:p>
  </w:endnote>
  <w:endnote w:type="continuationSeparator" w:id="0">
    <w:p w:rsidR="008F18F7" w:rsidRDefault="008F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A647AE">
    <w:pPr>
      <w:pBdr>
        <w:top w:val="nil"/>
        <w:left w:val="nil"/>
        <w:bottom w:val="nil"/>
        <w:right w:val="nil"/>
        <w:between w:val="nil"/>
      </w:pBdr>
      <w:tabs>
        <w:tab w:val="center" w:pos="4680"/>
        <w:tab w:val="right" w:pos="936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111BE0">
      <w:rPr>
        <w:rFonts w:eastAsia="Times New Roman"/>
        <w:noProof/>
        <w:color w:val="000000"/>
      </w:rPr>
      <w:t>117</w:t>
    </w:r>
    <w:r>
      <w:rPr>
        <w:rFonts w:eastAsia="Times New Roman"/>
        <w:color w:val="000000"/>
      </w:rPr>
      <w:fldChar w:fldCharType="end"/>
    </w:r>
  </w:p>
  <w:p w:rsidR="000A19C5" w:rsidRDefault="000A19C5">
    <w:pPr>
      <w:pBdr>
        <w:top w:val="nil"/>
        <w:left w:val="nil"/>
        <w:bottom w:val="nil"/>
        <w:right w:val="nil"/>
        <w:between w:val="nil"/>
      </w:pBdr>
      <w:tabs>
        <w:tab w:val="center" w:pos="4680"/>
        <w:tab w:val="right" w:pos="9360"/>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F7" w:rsidRDefault="008F18F7">
      <w:r>
        <w:separator/>
      </w:r>
    </w:p>
  </w:footnote>
  <w:footnote w:type="continuationSeparator" w:id="0">
    <w:p w:rsidR="008F18F7" w:rsidRDefault="008F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0A19C5">
    <w:pPr>
      <w:pBdr>
        <w:top w:val="nil"/>
        <w:left w:val="nil"/>
        <w:bottom w:val="single" w:sz="8" w:space="1" w:color="000000"/>
        <w:right w:val="nil"/>
        <w:between w:val="nil"/>
      </w:pBdr>
      <w:tabs>
        <w:tab w:val="center" w:pos="4680"/>
        <w:tab w:val="right" w:pos="9360"/>
      </w:tabs>
      <w:rPr>
        <w:rFonts w:eastAsia="Times New Roman"/>
        <w:color w:val="000000"/>
        <w:sz w:val="22"/>
        <w:szCs w:val="22"/>
      </w:rPr>
    </w:pPr>
  </w:p>
  <w:p w:rsidR="000A19C5" w:rsidRDefault="00A647AE">
    <w:pPr>
      <w:pBdr>
        <w:top w:val="nil"/>
        <w:left w:val="nil"/>
        <w:bottom w:val="single" w:sz="8" w:space="1" w:color="000000"/>
        <w:right w:val="nil"/>
        <w:between w:val="nil"/>
      </w:pBdr>
      <w:tabs>
        <w:tab w:val="center" w:pos="4680"/>
        <w:tab w:val="right" w:pos="9360"/>
      </w:tabs>
      <w:rPr>
        <w:rFonts w:eastAsia="Times New Roman"/>
        <w:color w:val="000000"/>
        <w:sz w:val="22"/>
        <w:szCs w:val="22"/>
      </w:rPr>
    </w:pPr>
    <w:r>
      <w:rPr>
        <w:rFonts w:eastAsia="Times New Roman"/>
        <w:color w:val="000000"/>
        <w:sz w:val="22"/>
        <w:szCs w:val="22"/>
      </w:rPr>
      <w:t xml:space="preserve">ISSN 2656-116(Print), ISSN 829-131x (Online) </w:t>
    </w:r>
    <w:r>
      <w:rPr>
        <w:rFonts w:eastAsia="Times New Roman"/>
        <w:color w:val="000000"/>
        <w:sz w:val="22"/>
        <w:szCs w:val="22"/>
      </w:rPr>
      <w:tab/>
    </w:r>
    <w:r>
      <w:rPr>
        <w:rFonts w:eastAsia="Times New Roman"/>
        <w:color w:val="000000"/>
        <w:sz w:val="22"/>
        <w:szCs w:val="22"/>
      </w:rPr>
      <w:tab/>
      <w:t xml:space="preserve">Jurnal Akademi Keperawatan Bunda Delima                                                                        </w:t>
    </w:r>
  </w:p>
  <w:p w:rsidR="000A19C5" w:rsidRDefault="00A647AE">
    <w:pPr>
      <w:pBdr>
        <w:top w:val="nil"/>
        <w:left w:val="nil"/>
        <w:bottom w:val="single" w:sz="8" w:space="1" w:color="000000"/>
        <w:right w:val="nil"/>
        <w:between w:val="nil"/>
      </w:pBdr>
      <w:tabs>
        <w:tab w:val="center" w:pos="4680"/>
        <w:tab w:val="right" w:pos="9360"/>
      </w:tabs>
      <w:jc w:val="center"/>
      <w:rPr>
        <w:rFonts w:eastAsia="Times New Roman"/>
        <w:color w:val="000000"/>
        <w:sz w:val="22"/>
        <w:szCs w:val="22"/>
      </w:rPr>
    </w:pPr>
    <w:r>
      <w:rPr>
        <w:rFonts w:eastAsia="Times New Roman"/>
        <w:color w:val="000000"/>
        <w:sz w:val="22"/>
        <w:szCs w:val="22"/>
      </w:rPr>
      <w:t xml:space="preserve">Vol.XX, No. X, (Bulan) XXXX, pp. xx – xx          </w:t>
    </w:r>
  </w:p>
  <w:p w:rsidR="000A19C5" w:rsidRDefault="000A19C5">
    <w:pPr>
      <w:pBdr>
        <w:top w:val="nil"/>
        <w:left w:val="nil"/>
        <w:bottom w:val="nil"/>
        <w:right w:val="nil"/>
        <w:between w:val="nil"/>
      </w:pBdr>
      <w:tabs>
        <w:tab w:val="center" w:pos="4680"/>
        <w:tab w:val="right" w:pos="9360"/>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DD" w:rsidRDefault="009E20DD" w:rsidP="009E20DD">
    <w:pPr>
      <w:pBdr>
        <w:top w:val="nil"/>
        <w:left w:val="nil"/>
        <w:bottom w:val="single" w:sz="8" w:space="1" w:color="000000"/>
        <w:right w:val="nil"/>
        <w:between w:val="nil"/>
      </w:pBdr>
      <w:tabs>
        <w:tab w:val="center" w:pos="4680"/>
        <w:tab w:val="right" w:pos="9360"/>
        <w:tab w:val="right" w:pos="9000"/>
      </w:tabs>
      <w:rPr>
        <w:rFonts w:eastAsia="Times New Roman"/>
        <w:color w:val="000000"/>
        <w:sz w:val="22"/>
        <w:szCs w:val="22"/>
      </w:rPr>
    </w:pPr>
    <w:r>
      <w:rPr>
        <w:rFonts w:eastAsia="Times New Roman"/>
        <w:color w:val="000000"/>
        <w:sz w:val="22"/>
        <w:szCs w:val="22"/>
      </w:rPr>
      <w:t xml:space="preserve">ISSN 2656-116(Print), ISSN 829-131x (Online) </w:t>
    </w:r>
    <w:r>
      <w:rPr>
        <w:rFonts w:eastAsia="Times New Roman"/>
        <w:color w:val="000000"/>
        <w:sz w:val="22"/>
        <w:szCs w:val="22"/>
      </w:rPr>
      <w:tab/>
    </w:r>
    <w:r>
      <w:rPr>
        <w:rFonts w:eastAsia="Times New Roman"/>
        <w:color w:val="000000"/>
        <w:sz w:val="22"/>
        <w:szCs w:val="22"/>
      </w:rPr>
      <w:tab/>
      <w:t xml:space="preserve">Jurnal Akademi Keperawatan Bunda Delima                                                                        </w:t>
    </w:r>
  </w:p>
  <w:p w:rsidR="009E20DD" w:rsidRDefault="009E20DD" w:rsidP="009E20DD">
    <w:pPr>
      <w:pBdr>
        <w:top w:val="nil"/>
        <w:left w:val="nil"/>
        <w:bottom w:val="single" w:sz="8" w:space="1" w:color="000000"/>
        <w:right w:val="nil"/>
        <w:between w:val="nil"/>
      </w:pBdr>
      <w:tabs>
        <w:tab w:val="center" w:pos="4680"/>
        <w:tab w:val="right" w:pos="9360"/>
      </w:tabs>
      <w:jc w:val="center"/>
      <w:rPr>
        <w:rFonts w:eastAsia="Times New Roman"/>
        <w:color w:val="000000"/>
        <w:sz w:val="22"/>
        <w:szCs w:val="22"/>
      </w:rPr>
    </w:pPr>
    <w:r>
      <w:rPr>
        <w:rFonts w:eastAsia="Times New Roman"/>
        <w:color w:val="000000"/>
        <w:sz w:val="22"/>
        <w:szCs w:val="22"/>
      </w:rPr>
      <w:t>Vol.8, No. 3, (Maret) 2026, pp. 11</w:t>
    </w:r>
    <w:r>
      <w:rPr>
        <w:rFonts w:eastAsia="Times New Roman"/>
        <w:color w:val="000000"/>
        <w:sz w:val="22"/>
        <w:szCs w:val="22"/>
      </w:rPr>
      <w:t>6</w:t>
    </w:r>
    <w:r>
      <w:rPr>
        <w:rFonts w:eastAsia="Times New Roman"/>
        <w:color w:val="000000"/>
        <w:sz w:val="22"/>
        <w:szCs w:val="22"/>
      </w:rPr>
      <w:t xml:space="preserve"> – 1</w:t>
    </w:r>
    <w:r>
      <w:rPr>
        <w:rFonts w:eastAsia="Times New Roman"/>
        <w:color w:val="000000"/>
        <w:sz w:val="22"/>
        <w:szCs w:val="22"/>
      </w:rPr>
      <w:t>24</w:t>
    </w:r>
    <w:r>
      <w:rPr>
        <w:rFonts w:eastAsia="Times New Roman"/>
        <w:color w:val="000000"/>
        <w:sz w:val="22"/>
        <w:szCs w:val="22"/>
      </w:rPr>
      <w:t xml:space="preserve">     </w:t>
    </w:r>
  </w:p>
  <w:p w:rsidR="000A19C5" w:rsidRPr="009E20DD" w:rsidRDefault="000A19C5" w:rsidP="009E2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0DD" w:rsidRDefault="009E20DD" w:rsidP="009E20DD">
    <w:pPr>
      <w:pBdr>
        <w:top w:val="nil"/>
        <w:left w:val="nil"/>
        <w:bottom w:val="nil"/>
        <w:right w:val="nil"/>
        <w:between w:val="nil"/>
      </w:pBdr>
      <w:tabs>
        <w:tab w:val="center" w:pos="4680"/>
        <w:tab w:val="right" w:pos="9360"/>
      </w:tabs>
      <w:jc w:val="right"/>
      <w:rPr>
        <w:rFonts w:eastAsia="Times New Roman"/>
        <w:b/>
        <w:color w:val="000000"/>
        <w:sz w:val="20"/>
        <w:szCs w:val="20"/>
      </w:rPr>
    </w:pPr>
    <w:r>
      <w:rPr>
        <w:rFonts w:eastAsia="Times New Roman"/>
        <w:b/>
        <w:color w:val="000000"/>
        <w:sz w:val="20"/>
        <w:szCs w:val="20"/>
      </w:rPr>
      <w:t>Jurnal Keperawatan Bunda Delima</w:t>
    </w:r>
  </w:p>
  <w:p w:rsidR="009E20DD" w:rsidRDefault="009E20DD" w:rsidP="009E20DD">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Volume 8, Nomor 3, 2026, pp.11</w:t>
    </w:r>
    <w:r>
      <w:rPr>
        <w:rFonts w:eastAsia="Times New Roman"/>
        <w:color w:val="000000"/>
        <w:sz w:val="20"/>
        <w:szCs w:val="20"/>
      </w:rPr>
      <w:t>6</w:t>
    </w:r>
    <w:r>
      <w:rPr>
        <w:rFonts w:eastAsia="Times New Roman"/>
        <w:color w:val="000000"/>
        <w:sz w:val="20"/>
        <w:szCs w:val="20"/>
      </w:rPr>
      <w:t>-1</w:t>
    </w:r>
    <w:r>
      <w:rPr>
        <w:rFonts w:eastAsia="Times New Roman"/>
        <w:color w:val="000000"/>
        <w:sz w:val="20"/>
        <w:szCs w:val="20"/>
      </w:rPr>
      <w:t>24</w:t>
    </w:r>
  </w:p>
  <w:p w:rsidR="009E20DD" w:rsidRDefault="009E20DD" w:rsidP="009E20DD">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ISSN 2656-116 (</w:t>
    </w:r>
    <w:r>
      <w:rPr>
        <w:rFonts w:eastAsia="Times New Roman"/>
        <w:i/>
        <w:color w:val="000000"/>
        <w:sz w:val="20"/>
        <w:szCs w:val="20"/>
      </w:rPr>
      <w:t>Print</w:t>
    </w:r>
    <w:r>
      <w:rPr>
        <w:rFonts w:eastAsia="Times New Roman"/>
        <w:color w:val="000000"/>
        <w:sz w:val="20"/>
        <w:szCs w:val="20"/>
      </w:rPr>
      <w:t>), ISSN 829-131x (</w:t>
    </w:r>
    <w:r>
      <w:rPr>
        <w:rFonts w:eastAsia="Times New Roman"/>
        <w:i/>
        <w:color w:val="000000"/>
        <w:sz w:val="20"/>
        <w:szCs w:val="20"/>
      </w:rPr>
      <w:t>Online</w:t>
    </w:r>
    <w:r>
      <w:rPr>
        <w:rFonts w:eastAsia="Times New Roman"/>
        <w:color w:val="000000"/>
        <w:sz w:val="20"/>
        <w:szCs w:val="20"/>
      </w:rPr>
      <w:t>)</w:t>
    </w:r>
  </w:p>
  <w:p w:rsidR="009E20DD" w:rsidRDefault="009E20DD" w:rsidP="009E20DD">
    <w:pPr>
      <w:pBdr>
        <w:top w:val="nil"/>
        <w:left w:val="nil"/>
        <w:bottom w:val="nil"/>
        <w:right w:val="nil"/>
        <w:between w:val="nil"/>
      </w:pBdr>
      <w:tabs>
        <w:tab w:val="center" w:pos="4680"/>
        <w:tab w:val="right" w:pos="9360"/>
      </w:tabs>
      <w:jc w:val="right"/>
      <w:rPr>
        <w:rFonts w:eastAsia="Times New Roman"/>
        <w:color w:val="000000"/>
        <w:sz w:val="20"/>
        <w:szCs w:val="20"/>
        <w:u w:val="single"/>
      </w:rPr>
    </w:pPr>
    <w:hyperlink r:id="rId1">
      <w:r>
        <w:rPr>
          <w:rFonts w:eastAsia="Times New Roman"/>
          <w:color w:val="0000FF"/>
          <w:sz w:val="20"/>
          <w:szCs w:val="20"/>
          <w:u w:val="single"/>
        </w:rPr>
        <w:t>https://journal.bundadelima.ac.id/index.php/jkbd</w:t>
      </w:r>
    </w:hyperlink>
  </w:p>
  <w:p w:rsidR="009E20DD" w:rsidRPr="004B265F" w:rsidRDefault="009E20DD" w:rsidP="009E20DD">
    <w:pPr>
      <w:pBdr>
        <w:top w:val="nil"/>
        <w:left w:val="nil"/>
        <w:bottom w:val="nil"/>
        <w:right w:val="nil"/>
        <w:between w:val="nil"/>
      </w:pBdr>
      <w:tabs>
        <w:tab w:val="center" w:pos="4680"/>
        <w:tab w:val="right" w:pos="9360"/>
      </w:tabs>
      <w:jc w:val="right"/>
      <w:rPr>
        <w:rFonts w:eastAsia="Times New Roman"/>
        <w:color w:val="FF0000"/>
        <w:sz w:val="22"/>
        <w:szCs w:val="22"/>
        <w:u w:val="single"/>
      </w:rPr>
    </w:pPr>
    <w:r w:rsidRPr="004B265F">
      <w:rPr>
        <w:rFonts w:eastAsia="Times New Roman"/>
        <w:color w:val="FF0000"/>
        <w:sz w:val="20"/>
        <w:szCs w:val="20"/>
        <w:highlight w:val="white"/>
        <w:u w:val="single"/>
      </w:rPr>
      <w:t>https://doi.org/10.59030/jkbd.v8i3.2</w:t>
    </w:r>
    <w:r>
      <w:rPr>
        <w:rFonts w:eastAsia="Times New Roman"/>
        <w:color w:val="FF0000"/>
        <w:sz w:val="20"/>
        <w:szCs w:val="20"/>
        <w:u w:val="single"/>
      </w:rPr>
      <w:t>7</w:t>
    </w:r>
    <w:r>
      <w:rPr>
        <w:rFonts w:eastAsia="Times New Roman"/>
        <w:color w:val="FF0000"/>
        <w:sz w:val="20"/>
        <w:szCs w:val="20"/>
        <w:u w:val="single"/>
      </w:rPr>
      <w:t>3</w:t>
    </w:r>
  </w:p>
  <w:p w:rsidR="000A19C5" w:rsidRPr="009E20DD" w:rsidRDefault="000A19C5" w:rsidP="009E2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2E36"/>
    <w:multiLevelType w:val="hybridMultilevel"/>
    <w:tmpl w:val="DCAEB502"/>
    <w:lvl w:ilvl="0" w:tplc="08366890">
      <w:start w:val="7"/>
      <w:numFmt w:val="bullet"/>
      <w:lvlText w:val=""/>
      <w:lvlJc w:val="left"/>
      <w:pPr>
        <w:ind w:left="420" w:hanging="360"/>
      </w:pPr>
      <w:rPr>
        <w:rFonts w:ascii="Wingdings" w:eastAsia="MS Mincho"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C690130"/>
    <w:multiLevelType w:val="hybridMultilevel"/>
    <w:tmpl w:val="4C1AEBBE"/>
    <w:lvl w:ilvl="0" w:tplc="81DA1306">
      <w:start w:val="4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16732"/>
    <w:multiLevelType w:val="hybridMultilevel"/>
    <w:tmpl w:val="A3A2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60B4F"/>
    <w:multiLevelType w:val="hybridMultilevel"/>
    <w:tmpl w:val="6910E4E6"/>
    <w:lvl w:ilvl="0" w:tplc="DFA69206">
      <w:start w:val="7"/>
      <w:numFmt w:val="bullet"/>
      <w:lvlText w:val=""/>
      <w:lvlJc w:val="left"/>
      <w:pPr>
        <w:ind w:left="420" w:hanging="360"/>
      </w:pPr>
      <w:rPr>
        <w:rFonts w:ascii="Wingdings" w:eastAsia="MS Mincho"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EC66E93"/>
    <w:multiLevelType w:val="multilevel"/>
    <w:tmpl w:val="9B78E892"/>
    <w:lvl w:ilvl="0">
      <w:start w:val="7"/>
      <w:numFmt w:val="decimal"/>
      <w:lvlText w:val="%1"/>
      <w:lvlJc w:val="left"/>
      <w:pPr>
        <w:ind w:left="375" w:hanging="375"/>
      </w:pPr>
      <w:rPr>
        <w:rFonts w:hint="default"/>
      </w:rPr>
    </w:lvl>
    <w:lvl w:ilvl="1">
      <w:start w:val="10"/>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19C5"/>
    <w:rsid w:val="00030875"/>
    <w:rsid w:val="00044B21"/>
    <w:rsid w:val="000479F1"/>
    <w:rsid w:val="00057310"/>
    <w:rsid w:val="000A19C5"/>
    <w:rsid w:val="000A27F6"/>
    <w:rsid w:val="000D26CD"/>
    <w:rsid w:val="000F7939"/>
    <w:rsid w:val="00111BE0"/>
    <w:rsid w:val="00177B04"/>
    <w:rsid w:val="001A61F4"/>
    <w:rsid w:val="001C2C20"/>
    <w:rsid w:val="002235BC"/>
    <w:rsid w:val="00317B6B"/>
    <w:rsid w:val="00337D73"/>
    <w:rsid w:val="0039612D"/>
    <w:rsid w:val="003B50AC"/>
    <w:rsid w:val="003E5C9F"/>
    <w:rsid w:val="003F03AB"/>
    <w:rsid w:val="003F4A35"/>
    <w:rsid w:val="00410CD0"/>
    <w:rsid w:val="0044416A"/>
    <w:rsid w:val="004B202A"/>
    <w:rsid w:val="004C3DE1"/>
    <w:rsid w:val="00526FB2"/>
    <w:rsid w:val="00562256"/>
    <w:rsid w:val="005778EE"/>
    <w:rsid w:val="00582959"/>
    <w:rsid w:val="00594909"/>
    <w:rsid w:val="005C70AA"/>
    <w:rsid w:val="00604C4B"/>
    <w:rsid w:val="006641D3"/>
    <w:rsid w:val="0067099C"/>
    <w:rsid w:val="006C50C3"/>
    <w:rsid w:val="006D51E2"/>
    <w:rsid w:val="006E62B9"/>
    <w:rsid w:val="007D15C8"/>
    <w:rsid w:val="008A54D1"/>
    <w:rsid w:val="008F18F7"/>
    <w:rsid w:val="00913CA3"/>
    <w:rsid w:val="00943CFD"/>
    <w:rsid w:val="00973D22"/>
    <w:rsid w:val="009A15F9"/>
    <w:rsid w:val="009A7F41"/>
    <w:rsid w:val="009E20DD"/>
    <w:rsid w:val="00A02416"/>
    <w:rsid w:val="00A1096E"/>
    <w:rsid w:val="00A30BE7"/>
    <w:rsid w:val="00A51257"/>
    <w:rsid w:val="00A54526"/>
    <w:rsid w:val="00A647AE"/>
    <w:rsid w:val="00A77CF7"/>
    <w:rsid w:val="00AF61A1"/>
    <w:rsid w:val="00B5100F"/>
    <w:rsid w:val="00B97C92"/>
    <w:rsid w:val="00BB7C6E"/>
    <w:rsid w:val="00BD33F1"/>
    <w:rsid w:val="00C53765"/>
    <w:rsid w:val="00C71993"/>
    <w:rsid w:val="00D1474E"/>
    <w:rsid w:val="00D65741"/>
    <w:rsid w:val="00D75177"/>
    <w:rsid w:val="00DA53F7"/>
    <w:rsid w:val="00DD45C0"/>
    <w:rsid w:val="00DE4DC6"/>
    <w:rsid w:val="00DF702F"/>
    <w:rsid w:val="00E30B89"/>
    <w:rsid w:val="00E319C9"/>
    <w:rsid w:val="00E363F3"/>
    <w:rsid w:val="00E43FD2"/>
    <w:rsid w:val="00E52AC1"/>
    <w:rsid w:val="00F04654"/>
    <w:rsid w:val="00F375F8"/>
    <w:rsid w:val="00F434E4"/>
    <w:rsid w:val="00F753E6"/>
    <w:rsid w:val="00F857C1"/>
    <w:rsid w:val="00FA3604"/>
    <w:rsid w:val="00FB42B8"/>
    <w:rsid w:val="00FC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F7"/>
    <w:pPr>
      <w:suppressAutoHyphens/>
    </w:pPr>
    <w:rPr>
      <w:rFonts w:eastAsia="MS Mincho"/>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A16233"/>
    <w:rPr>
      <w:color w:val="0000FF"/>
      <w:u w:val="single"/>
    </w:rPr>
  </w:style>
  <w:style w:type="paragraph" w:styleId="Subtitle">
    <w:name w:val="Subtitle"/>
    <w:basedOn w:val="Normal"/>
    <w:next w:val="Normal"/>
    <w:link w:val="SubtitleChar"/>
    <w:pPr>
      <w:spacing w:after="60"/>
      <w:jc w:val="center"/>
    </w:pPr>
    <w:rPr>
      <w:rFonts w:ascii="Arial" w:eastAsia="Arial" w:hAnsi="Arial" w:cs="Arial"/>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line="273" w:lineRule="auto"/>
    </w:pPr>
    <w:rPr>
      <w:rFonts w:ascii="Calibri" w:eastAsia="SimSun" w:hAnsi="Calibri" w:cs="Calibri" w:hint="eastAsia"/>
      <w:lang w:eastAsia="zh-CN"/>
    </w:rPr>
  </w:style>
  <w:style w:type="paragraph" w:customStyle="1" w:styleId="Sistematika">
    <w:name w:val="Sistematika"/>
    <w:link w:val="SistematikaChar"/>
    <w:qFormat/>
    <w:rsid w:val="00A16233"/>
    <w:pPr>
      <w:spacing w:before="100" w:beforeAutospacing="1" w:after="120"/>
    </w:pPr>
    <w:rPr>
      <w:rFonts w:ascii="Palatino Linotype" w:hAnsi="Palatino Linotype"/>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F8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Heading 1 Char1,List Paragraph1,Daftar Pustaka,Daftar,List1,spasi 2 taiiii,Bullet Paragraph,Dot pt,F5 List Paragraph,List Paragraph Char Char Char,Indicator Text,Numbered Para 1,Bullet 1,List Paragraph12,Bullet Points"/>
    <w:basedOn w:val="Normal"/>
    <w:link w:val="ListParagraphChar"/>
    <w:qFormat/>
    <w:rsid w:val="007D15C8"/>
    <w:pPr>
      <w:ind w:left="720"/>
      <w:contextualSpacing/>
    </w:pPr>
  </w:style>
  <w:style w:type="paragraph" w:styleId="Bibliography">
    <w:name w:val="Bibliography"/>
    <w:basedOn w:val="Normal"/>
    <w:next w:val="Normal"/>
    <w:uiPriority w:val="37"/>
    <w:unhideWhenUsed/>
    <w:rsid w:val="00A1096E"/>
    <w:pPr>
      <w:spacing w:line="480" w:lineRule="auto"/>
      <w:ind w:left="720" w:hanging="720"/>
    </w:pPr>
  </w:style>
  <w:style w:type="table" w:customStyle="1" w:styleId="LightShading11">
    <w:name w:val="Light Shading11"/>
    <w:basedOn w:val="TableNormal"/>
    <w:uiPriority w:val="60"/>
    <w:rsid w:val="00594909"/>
    <w:rPr>
      <w:rFonts w:asciiTheme="minorHAnsi" w:hAnsi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UGEX'Z Char,Heading 1 Char1 Char,List Paragraph1 Char,Daftar Pustaka Char,Daftar Char,List1 Char,spasi 2 taiiii Char,Bullet Paragraph Char,Dot pt Char,F5 List Paragraph Char,List Paragraph Char Char Char Char"/>
    <w:link w:val="ListParagraph"/>
    <w:qFormat/>
    <w:locked/>
    <w:rsid w:val="00057310"/>
    <w:rPr>
      <w:rFonts w:eastAsia="MS Mincho"/>
      <w:lang w:eastAsia="ar-SA"/>
    </w:rPr>
  </w:style>
  <w:style w:type="table" w:customStyle="1" w:styleId="KisiTabel2">
    <w:name w:val="Kisi Tabel2"/>
    <w:basedOn w:val="TableNormal"/>
    <w:next w:val="TableGrid"/>
    <w:uiPriority w:val="39"/>
    <w:rsid w:val="00410CD0"/>
    <w:rPr>
      <w:rFonts w:asciiTheme="minorHAnsi" w:hAnsiTheme="minorHAnsi"/>
      <w:kern w:val="2"/>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F7"/>
    <w:pPr>
      <w:suppressAutoHyphens/>
    </w:pPr>
    <w:rPr>
      <w:rFonts w:eastAsia="MS Mincho"/>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A16233"/>
    <w:rPr>
      <w:color w:val="0000FF"/>
      <w:u w:val="single"/>
    </w:rPr>
  </w:style>
  <w:style w:type="paragraph" w:styleId="Subtitle">
    <w:name w:val="Subtitle"/>
    <w:basedOn w:val="Normal"/>
    <w:next w:val="Normal"/>
    <w:link w:val="SubtitleChar"/>
    <w:pPr>
      <w:spacing w:after="60"/>
      <w:jc w:val="center"/>
    </w:pPr>
    <w:rPr>
      <w:rFonts w:ascii="Arial" w:eastAsia="Arial" w:hAnsi="Arial" w:cs="Arial"/>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line="273" w:lineRule="auto"/>
    </w:pPr>
    <w:rPr>
      <w:rFonts w:ascii="Calibri" w:eastAsia="SimSun" w:hAnsi="Calibri" w:cs="Calibri" w:hint="eastAsia"/>
      <w:lang w:eastAsia="zh-CN"/>
    </w:rPr>
  </w:style>
  <w:style w:type="paragraph" w:customStyle="1" w:styleId="Sistematika">
    <w:name w:val="Sistematika"/>
    <w:link w:val="SistematikaChar"/>
    <w:qFormat/>
    <w:rsid w:val="00A16233"/>
    <w:pPr>
      <w:spacing w:before="100" w:beforeAutospacing="1" w:after="120"/>
    </w:pPr>
    <w:rPr>
      <w:rFonts w:ascii="Palatino Linotype" w:hAnsi="Palatino Linotype"/>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F8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UGEX'Z,Heading 1 Char1,List Paragraph1,Daftar Pustaka,Daftar,List1,spasi 2 taiiii,Bullet Paragraph,Dot pt,F5 List Paragraph,List Paragraph Char Char Char,Indicator Text,Numbered Para 1,Bullet 1,List Paragraph12,Bullet Points"/>
    <w:basedOn w:val="Normal"/>
    <w:link w:val="ListParagraphChar"/>
    <w:qFormat/>
    <w:rsid w:val="007D15C8"/>
    <w:pPr>
      <w:ind w:left="720"/>
      <w:contextualSpacing/>
    </w:pPr>
  </w:style>
  <w:style w:type="paragraph" w:styleId="Bibliography">
    <w:name w:val="Bibliography"/>
    <w:basedOn w:val="Normal"/>
    <w:next w:val="Normal"/>
    <w:uiPriority w:val="37"/>
    <w:unhideWhenUsed/>
    <w:rsid w:val="00A1096E"/>
    <w:pPr>
      <w:spacing w:line="480" w:lineRule="auto"/>
      <w:ind w:left="720" w:hanging="720"/>
    </w:pPr>
  </w:style>
  <w:style w:type="table" w:customStyle="1" w:styleId="LightShading11">
    <w:name w:val="Light Shading11"/>
    <w:basedOn w:val="TableNormal"/>
    <w:uiPriority w:val="60"/>
    <w:rsid w:val="00594909"/>
    <w:rPr>
      <w:rFonts w:asciiTheme="minorHAnsi" w:hAnsi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UGEX'Z Char,Heading 1 Char1 Char,List Paragraph1 Char,Daftar Pustaka Char,Daftar Char,List1 Char,spasi 2 taiiii Char,Bullet Paragraph Char,Dot pt Char,F5 List Paragraph Char,List Paragraph Char Char Char Char"/>
    <w:link w:val="ListParagraph"/>
    <w:qFormat/>
    <w:locked/>
    <w:rsid w:val="00057310"/>
    <w:rPr>
      <w:rFonts w:eastAsia="MS Mincho"/>
      <w:lang w:eastAsia="ar-SA"/>
    </w:rPr>
  </w:style>
  <w:style w:type="table" w:customStyle="1" w:styleId="KisiTabel2">
    <w:name w:val="Kisi Tabel2"/>
    <w:basedOn w:val="TableNormal"/>
    <w:next w:val="TableGrid"/>
    <w:uiPriority w:val="39"/>
    <w:rsid w:val="00410CD0"/>
    <w:rPr>
      <w:rFonts w:asciiTheme="minorHAnsi" w:hAnsiTheme="minorHAnsi"/>
      <w:kern w:val="2"/>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728">
      <w:bodyDiv w:val="1"/>
      <w:marLeft w:val="0"/>
      <w:marRight w:val="0"/>
      <w:marTop w:val="0"/>
      <w:marBottom w:val="0"/>
      <w:divBdr>
        <w:top w:val="none" w:sz="0" w:space="0" w:color="auto"/>
        <w:left w:val="none" w:sz="0" w:space="0" w:color="auto"/>
        <w:bottom w:val="none" w:sz="0" w:space="0" w:color="auto"/>
        <w:right w:val="none" w:sz="0" w:space="0" w:color="auto"/>
      </w:divBdr>
    </w:div>
    <w:div w:id="62992809">
      <w:bodyDiv w:val="1"/>
      <w:marLeft w:val="0"/>
      <w:marRight w:val="0"/>
      <w:marTop w:val="0"/>
      <w:marBottom w:val="0"/>
      <w:divBdr>
        <w:top w:val="none" w:sz="0" w:space="0" w:color="auto"/>
        <w:left w:val="none" w:sz="0" w:space="0" w:color="auto"/>
        <w:bottom w:val="none" w:sz="0" w:space="0" w:color="auto"/>
        <w:right w:val="none" w:sz="0" w:space="0" w:color="auto"/>
      </w:divBdr>
    </w:div>
    <w:div w:id="82143520">
      <w:bodyDiv w:val="1"/>
      <w:marLeft w:val="0"/>
      <w:marRight w:val="0"/>
      <w:marTop w:val="0"/>
      <w:marBottom w:val="0"/>
      <w:divBdr>
        <w:top w:val="none" w:sz="0" w:space="0" w:color="auto"/>
        <w:left w:val="none" w:sz="0" w:space="0" w:color="auto"/>
        <w:bottom w:val="none" w:sz="0" w:space="0" w:color="auto"/>
        <w:right w:val="none" w:sz="0" w:space="0" w:color="auto"/>
      </w:divBdr>
    </w:div>
    <w:div w:id="153104739">
      <w:bodyDiv w:val="1"/>
      <w:marLeft w:val="0"/>
      <w:marRight w:val="0"/>
      <w:marTop w:val="0"/>
      <w:marBottom w:val="0"/>
      <w:divBdr>
        <w:top w:val="none" w:sz="0" w:space="0" w:color="auto"/>
        <w:left w:val="none" w:sz="0" w:space="0" w:color="auto"/>
        <w:bottom w:val="none" w:sz="0" w:space="0" w:color="auto"/>
        <w:right w:val="none" w:sz="0" w:space="0" w:color="auto"/>
      </w:divBdr>
    </w:div>
    <w:div w:id="588464511">
      <w:bodyDiv w:val="1"/>
      <w:marLeft w:val="0"/>
      <w:marRight w:val="0"/>
      <w:marTop w:val="0"/>
      <w:marBottom w:val="0"/>
      <w:divBdr>
        <w:top w:val="none" w:sz="0" w:space="0" w:color="auto"/>
        <w:left w:val="none" w:sz="0" w:space="0" w:color="auto"/>
        <w:bottom w:val="none" w:sz="0" w:space="0" w:color="auto"/>
        <w:right w:val="none" w:sz="0" w:space="0" w:color="auto"/>
      </w:divBdr>
    </w:div>
    <w:div w:id="653872096">
      <w:bodyDiv w:val="1"/>
      <w:marLeft w:val="0"/>
      <w:marRight w:val="0"/>
      <w:marTop w:val="0"/>
      <w:marBottom w:val="0"/>
      <w:divBdr>
        <w:top w:val="none" w:sz="0" w:space="0" w:color="auto"/>
        <w:left w:val="none" w:sz="0" w:space="0" w:color="auto"/>
        <w:bottom w:val="none" w:sz="0" w:space="0" w:color="auto"/>
        <w:right w:val="none" w:sz="0" w:space="0" w:color="auto"/>
      </w:divBdr>
    </w:div>
    <w:div w:id="764960553">
      <w:bodyDiv w:val="1"/>
      <w:marLeft w:val="0"/>
      <w:marRight w:val="0"/>
      <w:marTop w:val="0"/>
      <w:marBottom w:val="0"/>
      <w:divBdr>
        <w:top w:val="none" w:sz="0" w:space="0" w:color="auto"/>
        <w:left w:val="none" w:sz="0" w:space="0" w:color="auto"/>
        <w:bottom w:val="none" w:sz="0" w:space="0" w:color="auto"/>
        <w:right w:val="none" w:sz="0" w:space="0" w:color="auto"/>
      </w:divBdr>
    </w:div>
    <w:div w:id="825169124">
      <w:bodyDiv w:val="1"/>
      <w:marLeft w:val="0"/>
      <w:marRight w:val="0"/>
      <w:marTop w:val="0"/>
      <w:marBottom w:val="0"/>
      <w:divBdr>
        <w:top w:val="none" w:sz="0" w:space="0" w:color="auto"/>
        <w:left w:val="none" w:sz="0" w:space="0" w:color="auto"/>
        <w:bottom w:val="none" w:sz="0" w:space="0" w:color="auto"/>
        <w:right w:val="none" w:sz="0" w:space="0" w:color="auto"/>
      </w:divBdr>
    </w:div>
    <w:div w:id="1128863562">
      <w:bodyDiv w:val="1"/>
      <w:marLeft w:val="0"/>
      <w:marRight w:val="0"/>
      <w:marTop w:val="0"/>
      <w:marBottom w:val="0"/>
      <w:divBdr>
        <w:top w:val="none" w:sz="0" w:space="0" w:color="auto"/>
        <w:left w:val="none" w:sz="0" w:space="0" w:color="auto"/>
        <w:bottom w:val="none" w:sz="0" w:space="0" w:color="auto"/>
        <w:right w:val="none" w:sz="0" w:space="0" w:color="auto"/>
      </w:divBdr>
    </w:div>
    <w:div w:id="1398431929">
      <w:bodyDiv w:val="1"/>
      <w:marLeft w:val="0"/>
      <w:marRight w:val="0"/>
      <w:marTop w:val="0"/>
      <w:marBottom w:val="0"/>
      <w:divBdr>
        <w:top w:val="none" w:sz="0" w:space="0" w:color="auto"/>
        <w:left w:val="none" w:sz="0" w:space="0" w:color="auto"/>
        <w:bottom w:val="none" w:sz="0" w:space="0" w:color="auto"/>
        <w:right w:val="none" w:sz="0" w:space="0" w:color="auto"/>
      </w:divBdr>
    </w:div>
    <w:div w:id="1566842982">
      <w:bodyDiv w:val="1"/>
      <w:marLeft w:val="0"/>
      <w:marRight w:val="0"/>
      <w:marTop w:val="0"/>
      <w:marBottom w:val="0"/>
      <w:divBdr>
        <w:top w:val="none" w:sz="0" w:space="0" w:color="auto"/>
        <w:left w:val="none" w:sz="0" w:space="0" w:color="auto"/>
        <w:bottom w:val="none" w:sz="0" w:space="0" w:color="auto"/>
        <w:right w:val="none" w:sz="0" w:space="0" w:color="auto"/>
      </w:divBdr>
    </w:div>
    <w:div w:id="1687824496">
      <w:bodyDiv w:val="1"/>
      <w:marLeft w:val="0"/>
      <w:marRight w:val="0"/>
      <w:marTop w:val="0"/>
      <w:marBottom w:val="0"/>
      <w:divBdr>
        <w:top w:val="none" w:sz="0" w:space="0" w:color="auto"/>
        <w:left w:val="none" w:sz="0" w:space="0" w:color="auto"/>
        <w:bottom w:val="none" w:sz="0" w:space="0" w:color="auto"/>
        <w:right w:val="none" w:sz="0" w:space="0" w:color="auto"/>
      </w:divBdr>
    </w:div>
    <w:div w:id="1822304586">
      <w:bodyDiv w:val="1"/>
      <w:marLeft w:val="0"/>
      <w:marRight w:val="0"/>
      <w:marTop w:val="0"/>
      <w:marBottom w:val="0"/>
      <w:divBdr>
        <w:top w:val="none" w:sz="0" w:space="0" w:color="auto"/>
        <w:left w:val="none" w:sz="0" w:space="0" w:color="auto"/>
        <w:bottom w:val="none" w:sz="0" w:space="0" w:color="auto"/>
        <w:right w:val="none" w:sz="0" w:space="0" w:color="auto"/>
      </w:divBdr>
    </w:div>
    <w:div w:id="2020813510">
      <w:bodyDiv w:val="1"/>
      <w:marLeft w:val="0"/>
      <w:marRight w:val="0"/>
      <w:marTop w:val="0"/>
      <w:marBottom w:val="0"/>
      <w:divBdr>
        <w:top w:val="none" w:sz="0" w:space="0" w:color="auto"/>
        <w:left w:val="none" w:sz="0" w:space="0" w:color="auto"/>
        <w:bottom w:val="none" w:sz="0" w:space="0" w:color="auto"/>
        <w:right w:val="none" w:sz="0" w:space="0" w:color="auto"/>
      </w:divBdr>
    </w:div>
    <w:div w:id="204520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nieindraihwahyudy@gmail.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journal.bundadelima.ac.id/index.php/jk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V6enqqxwmWY/6OvvCmZC+QUYw==">CgMxLjAyCGguZ2pkZ3hzOAByITFWYW16bFNfMFE5T0pBc2JZT21CWmFMTnd6SWNReklMWQ==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4756</Words>
  <Characters>27113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Administrator</cp:lastModifiedBy>
  <cp:revision>3</cp:revision>
  <dcterms:created xsi:type="dcterms:W3CDTF">2026-06-24T07:20:00Z</dcterms:created>
  <dcterms:modified xsi:type="dcterms:W3CDTF">2026-06-24T07:21:00Z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id="BHEwiEDk"/&gt;&lt;style id="http://www.zotero.org/styles/apa" locale="en-US" hasBibliography="1" bibliographyStyleHasBeenSet="1"/&gt;&lt;prefs&gt;&lt;pref name="fieldType" value="Field"/&gt;&lt;/prefs&gt;&lt;/data&gt;</vt:lpwstr>
  </property>
</Properties>
</file>